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E9B8" w14:textId="77777777" w:rsidR="00E36DA8" w:rsidRPr="00672273" w:rsidRDefault="00E36DA8" w:rsidP="00E3B686">
      <w:pPr>
        <w:autoSpaceDE w:val="0"/>
        <w:autoSpaceDN w:val="0"/>
        <w:adjustRightInd w:val="0"/>
        <w:spacing w:line="320" w:lineRule="atLeast"/>
        <w:ind w:right="349"/>
        <w:jc w:val="right"/>
        <w:rPr>
          <w:b/>
          <w:bCs/>
          <w:i/>
          <w:iCs/>
          <w:noProof/>
          <w:spacing w:val="80"/>
          <w:lang w:val="ro-RO"/>
        </w:rPr>
      </w:pPr>
      <w:r w:rsidRPr="00E3B686">
        <w:rPr>
          <w:b/>
          <w:bCs/>
          <w:i/>
          <w:iCs/>
          <w:noProof/>
          <w:spacing w:val="80"/>
          <w:lang w:val="ro-RO"/>
        </w:rPr>
        <w:t xml:space="preserve">ANEXA </w:t>
      </w:r>
      <w:r w:rsidR="4F1D754B" w:rsidRPr="00E3B686">
        <w:rPr>
          <w:b/>
          <w:bCs/>
          <w:i/>
          <w:iCs/>
          <w:noProof/>
          <w:spacing w:val="80"/>
          <w:lang w:val="ro-RO"/>
        </w:rPr>
        <w:t>5 FV</w:t>
      </w:r>
    </w:p>
    <w:p w14:paraId="085218D6" w14:textId="77777777" w:rsidR="001E6D49" w:rsidRPr="001E6D49" w:rsidRDefault="001E6D49" w:rsidP="001E6D49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 w:rsidRPr="001E6D49">
        <w:rPr>
          <w:noProof/>
          <w:lang w:val="ro-RO"/>
        </w:rPr>
        <w:t>Universitatea Națională de Știință și Tehnologie POLITEHNICA Bucureşti</w:t>
      </w:r>
    </w:p>
    <w:p w14:paraId="508F7D11" w14:textId="77777777" w:rsidR="001E6D49" w:rsidRPr="001E6D49" w:rsidRDefault="001E6D49" w:rsidP="001E6D49">
      <w:pPr>
        <w:autoSpaceDE w:val="0"/>
        <w:autoSpaceDN w:val="0"/>
        <w:adjustRightInd w:val="0"/>
        <w:spacing w:line="320" w:lineRule="atLeast"/>
        <w:jc w:val="both"/>
        <w:rPr>
          <w:bCs/>
          <w:iCs/>
          <w:noProof/>
          <w:lang w:val="ro-RO"/>
        </w:rPr>
      </w:pPr>
      <w:r w:rsidRPr="001E6D49">
        <w:rPr>
          <w:noProof/>
          <w:lang w:val="ro-RO"/>
        </w:rPr>
        <w:t>Facultatea</w:t>
      </w:r>
      <w:r w:rsidRPr="001E6D49">
        <w:rPr>
          <w:bCs/>
          <w:iCs/>
          <w:noProof/>
          <w:lang w:val="ro-RO"/>
        </w:rPr>
        <w:t>: STIINTE APLICATE</w:t>
      </w:r>
    </w:p>
    <w:p w14:paraId="2BBDDF47" w14:textId="77777777" w:rsidR="001E6D49" w:rsidRPr="001E6D49" w:rsidRDefault="001E6D49" w:rsidP="001E6D49">
      <w:pPr>
        <w:autoSpaceDE w:val="0"/>
        <w:autoSpaceDN w:val="0"/>
        <w:adjustRightInd w:val="0"/>
        <w:spacing w:line="320" w:lineRule="atLeast"/>
        <w:jc w:val="both"/>
        <w:rPr>
          <w:bCs/>
          <w:iCs/>
          <w:noProof/>
          <w:lang w:val="ro-RO"/>
        </w:rPr>
      </w:pPr>
      <w:r w:rsidRPr="001E6D49">
        <w:rPr>
          <w:noProof/>
          <w:lang w:val="ro-RO"/>
        </w:rPr>
        <w:t>Departamentul</w:t>
      </w:r>
      <w:r w:rsidRPr="001E6D49">
        <w:rPr>
          <w:bCs/>
          <w:iCs/>
          <w:noProof/>
          <w:lang w:val="ro-RO"/>
        </w:rPr>
        <w:t>:</w:t>
      </w:r>
      <w:r w:rsidRPr="001E6D49">
        <w:rPr>
          <w:noProof/>
          <w:lang w:val="ro-RO"/>
        </w:rPr>
        <w:t xml:space="preserve"> </w:t>
      </w:r>
      <w:r w:rsidRPr="001E6D49">
        <w:rPr>
          <w:bCs/>
          <w:iCs/>
          <w:noProof/>
          <w:lang w:val="ro-RO"/>
        </w:rPr>
        <w:t xml:space="preserve"> Matematică-Informatică, </w:t>
      </w:r>
    </w:p>
    <w:p w14:paraId="2E2B6210" w14:textId="77777777" w:rsidR="001E6D49" w:rsidRPr="001E6D49" w:rsidRDefault="001E6D49" w:rsidP="001E6D49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1E6D49">
        <w:rPr>
          <w:bCs/>
          <w:noProof/>
          <w:lang w:val="ro-RO"/>
        </w:rPr>
        <w:t>Nume Prenume</w:t>
      </w:r>
      <w:r w:rsidRPr="001E6D49">
        <w:rPr>
          <w:bCs/>
          <w:iCs/>
          <w:noProof/>
          <w:lang w:val="ro-RO"/>
        </w:rPr>
        <w:t>: SEBE Gabriela Ileana</w:t>
      </w:r>
    </w:p>
    <w:p w14:paraId="515DCD4A" w14:textId="77777777" w:rsidR="001E6D49" w:rsidRPr="001E6D49" w:rsidRDefault="001E6D49" w:rsidP="001E6D49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1E6D49">
        <w:rPr>
          <w:bCs/>
          <w:noProof/>
          <w:lang w:val="ro-RO"/>
        </w:rPr>
        <w:t>Gradul didactic</w:t>
      </w:r>
      <w:r w:rsidRPr="001E6D49">
        <w:rPr>
          <w:bCs/>
          <w:iCs/>
          <w:noProof/>
          <w:lang w:val="ro-RO"/>
        </w:rPr>
        <w:t>: Conferentiar</w:t>
      </w:r>
    </w:p>
    <w:p w14:paraId="169962AE" w14:textId="77777777" w:rsidR="001E6D49" w:rsidRPr="001E6D49" w:rsidRDefault="001E6D49" w:rsidP="001E6D49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BF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C0" w14:textId="77777777" w:rsidR="00E36DA8" w:rsidRPr="00672273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pacing w:val="100"/>
          <w:sz w:val="32"/>
          <w:szCs w:val="32"/>
          <w:lang w:val="ro-RO"/>
        </w:rPr>
      </w:pPr>
      <w:r w:rsidRPr="00672273">
        <w:rPr>
          <w:b/>
          <w:noProof/>
          <w:spacing w:val="100"/>
          <w:sz w:val="32"/>
          <w:szCs w:val="32"/>
          <w:lang w:val="ro-RO"/>
        </w:rPr>
        <w:t>LISTA</w:t>
      </w:r>
    </w:p>
    <w:p w14:paraId="1D46E9C1" w14:textId="77777777" w:rsidR="00E36DA8" w:rsidRPr="00EB729A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lucrărilor ştiinţifice</w:t>
      </w:r>
      <w:r w:rsidRPr="00EB729A">
        <w:rPr>
          <w:b/>
          <w:sz w:val="28"/>
          <w:szCs w:val="28"/>
          <w:lang w:val="ro-RO"/>
        </w:rPr>
        <w:t xml:space="preserve"> în domeniul disciplinelor din postul didactic</w:t>
      </w:r>
    </w:p>
    <w:p w14:paraId="1D46E9C2" w14:textId="77777777" w:rsidR="00E36DA8" w:rsidRPr="00424B19" w:rsidRDefault="00E36DA8" w:rsidP="00934BE1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3241338D" w14:textId="77777777" w:rsidR="00F22996" w:rsidRPr="00F22996" w:rsidRDefault="00F22996" w:rsidP="00F22996">
      <w:pPr>
        <w:numPr>
          <w:ilvl w:val="0"/>
          <w:numId w:val="11"/>
        </w:numPr>
        <w:tabs>
          <w:tab w:val="left" w:pos="142"/>
          <w:tab w:val="left" w:pos="399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F22996">
        <w:rPr>
          <w:b/>
          <w:noProof/>
          <w:spacing w:val="-2"/>
          <w:lang w:val="ro-RO"/>
        </w:rPr>
        <w:t>Teza de doctorat</w:t>
      </w:r>
    </w:p>
    <w:p w14:paraId="0A6380F1" w14:textId="77777777" w:rsidR="00F22996" w:rsidRPr="00F22996" w:rsidRDefault="00F22996" w:rsidP="00F22996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F22996">
        <w:rPr>
          <w:noProof/>
          <w:spacing w:val="-2"/>
          <w:lang w:val="ro-RO"/>
        </w:rPr>
        <w:t xml:space="preserve">Contribuţii la studiul dependenței cu legături complete, susținută în mai 1996, </w:t>
      </w:r>
      <w:r w:rsidRPr="00DE1B95">
        <w:rPr>
          <w:bCs/>
          <w:noProof/>
          <w:spacing w:val="-2"/>
          <w:lang w:val="ro-RO"/>
        </w:rPr>
        <w:t>Centrul de Statistică  Matematică</w:t>
      </w:r>
      <w:r w:rsidRPr="00DE1B95">
        <w:rPr>
          <w:noProof/>
          <w:spacing w:val="-2"/>
          <w:lang w:val="ro-RO"/>
        </w:rPr>
        <w:t xml:space="preserve">, Academia Română, Bucureşti   </w:t>
      </w:r>
    </w:p>
    <w:p w14:paraId="2656536D" w14:textId="77777777" w:rsidR="00F22996" w:rsidRPr="00F22996" w:rsidRDefault="00F22996" w:rsidP="00F22996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58CB4713" w14:textId="77777777" w:rsidR="00F22996" w:rsidRPr="00F22996" w:rsidRDefault="00F22996" w:rsidP="00F22996">
      <w:pPr>
        <w:numPr>
          <w:ilvl w:val="0"/>
          <w:numId w:val="11"/>
        </w:numPr>
        <w:tabs>
          <w:tab w:val="left" w:pos="142"/>
          <w:tab w:val="left" w:pos="399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F22996">
        <w:rPr>
          <w:b/>
          <w:noProof/>
          <w:spacing w:val="-2"/>
          <w:lang w:val="ro-RO"/>
        </w:rPr>
        <w:t xml:space="preserve">Cărţi si capitole în cărţi publicate în ultimii 10 ani </w:t>
      </w:r>
    </w:p>
    <w:p w14:paraId="097292E0" w14:textId="77777777" w:rsidR="00F22996" w:rsidRPr="00F22996" w:rsidRDefault="00F22996" w:rsidP="00F22996">
      <w:pPr>
        <w:numPr>
          <w:ilvl w:val="0"/>
          <w:numId w:val="12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  <w:r w:rsidRPr="00F22996">
        <w:rPr>
          <w:b/>
          <w:noProof/>
          <w:spacing w:val="-2"/>
        </w:rPr>
        <w:t>Sebe, G.I.</w:t>
      </w:r>
      <w:r w:rsidRPr="00F22996">
        <w:rPr>
          <w:noProof/>
          <w:spacing w:val="-2"/>
        </w:rPr>
        <w:t>, Lascu, D. (2025) </w:t>
      </w:r>
      <w:r w:rsidRPr="00F22996">
        <w:rPr>
          <w:i/>
          <w:noProof/>
          <w:spacing w:val="-2"/>
        </w:rPr>
        <w:t>Metrical and Ergodic Theory of  Continued Fraction Algorithms</w:t>
      </w:r>
      <w:r w:rsidRPr="00F22996">
        <w:rPr>
          <w:noProof/>
          <w:spacing w:val="-2"/>
        </w:rPr>
        <w:t>, Springer, Birkhauser, 152 pagini,  ISBN 978-3-031-86633-3</w:t>
      </w:r>
    </w:p>
    <w:p w14:paraId="0B794F3B" w14:textId="77777777" w:rsidR="00F22996" w:rsidRPr="00F22996" w:rsidRDefault="00F22996" w:rsidP="00F22996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</w:p>
    <w:p w14:paraId="47E13238" w14:textId="77777777" w:rsidR="00F22996" w:rsidRPr="00F22996" w:rsidRDefault="00F22996" w:rsidP="00F22996">
      <w:pPr>
        <w:numPr>
          <w:ilvl w:val="0"/>
          <w:numId w:val="12"/>
        </w:numPr>
        <w:tabs>
          <w:tab w:val="left" w:pos="142"/>
          <w:tab w:val="left" w:pos="399"/>
        </w:tabs>
        <w:spacing w:line="320" w:lineRule="atLeast"/>
        <w:jc w:val="both"/>
        <w:rPr>
          <w:bCs/>
          <w:i/>
          <w:noProof/>
          <w:spacing w:val="-2"/>
          <w:lang w:val="ro-RO"/>
        </w:rPr>
      </w:pPr>
      <w:r w:rsidRPr="00F22996">
        <w:rPr>
          <w:b/>
          <w:bCs/>
          <w:noProof/>
          <w:spacing w:val="-2"/>
          <w:lang w:val="ro-RO"/>
        </w:rPr>
        <w:t>Sebe, G.I.</w:t>
      </w:r>
      <w:r w:rsidRPr="00F22996">
        <w:rPr>
          <w:bCs/>
          <w:noProof/>
          <w:spacing w:val="-2"/>
          <w:lang w:val="ro-RO"/>
        </w:rPr>
        <w:t xml:space="preserve">, Lascu, D. (2022) </w:t>
      </w:r>
      <w:r w:rsidRPr="00F22996">
        <w:rPr>
          <w:bCs/>
          <w:i/>
          <w:noProof/>
          <w:spacing w:val="-2"/>
          <w:lang w:val="ro-RO"/>
        </w:rPr>
        <w:t>Analiză matematică</w:t>
      </w:r>
      <w:r w:rsidRPr="00F22996">
        <w:rPr>
          <w:bCs/>
          <w:noProof/>
          <w:spacing w:val="-2"/>
          <w:lang w:val="ro-RO"/>
        </w:rPr>
        <w:t xml:space="preserve">. Vol. 2, Editura ANMB, Constanța, 200 pagini, ISBN 978-606-642-227-7 </w:t>
      </w:r>
    </w:p>
    <w:p w14:paraId="2550797E" w14:textId="77777777" w:rsidR="00F22996" w:rsidRPr="00F22996" w:rsidRDefault="00F22996" w:rsidP="00F22996">
      <w:pPr>
        <w:tabs>
          <w:tab w:val="left" w:pos="142"/>
          <w:tab w:val="left" w:pos="399"/>
        </w:tabs>
        <w:spacing w:line="320" w:lineRule="atLeast"/>
        <w:jc w:val="both"/>
        <w:rPr>
          <w:bCs/>
          <w:i/>
          <w:noProof/>
          <w:spacing w:val="-2"/>
          <w:lang w:val="ro-RO"/>
        </w:rPr>
      </w:pPr>
    </w:p>
    <w:p w14:paraId="1B51A6E0" w14:textId="77777777" w:rsidR="00F22996" w:rsidRPr="00F22996" w:rsidRDefault="00F22996" w:rsidP="00F22996">
      <w:pPr>
        <w:numPr>
          <w:ilvl w:val="0"/>
          <w:numId w:val="12"/>
        </w:numPr>
        <w:tabs>
          <w:tab w:val="left" w:pos="142"/>
          <w:tab w:val="left" w:pos="399"/>
        </w:tabs>
        <w:spacing w:line="320" w:lineRule="atLeast"/>
        <w:jc w:val="both"/>
        <w:rPr>
          <w:bCs/>
          <w:i/>
          <w:noProof/>
          <w:spacing w:val="-2"/>
          <w:lang w:val="ro-RO"/>
        </w:rPr>
      </w:pPr>
      <w:r w:rsidRPr="00F22996">
        <w:rPr>
          <w:b/>
          <w:bCs/>
          <w:noProof/>
          <w:spacing w:val="-2"/>
          <w:lang w:val="ro-RO"/>
        </w:rPr>
        <w:t>Sebe, G.I.</w:t>
      </w:r>
      <w:r w:rsidRPr="00F22996">
        <w:rPr>
          <w:bCs/>
          <w:noProof/>
          <w:spacing w:val="-2"/>
          <w:lang w:val="ro-RO"/>
        </w:rPr>
        <w:t xml:space="preserve">, Lascu, D. (2021) </w:t>
      </w:r>
      <w:r w:rsidRPr="00F22996">
        <w:rPr>
          <w:bCs/>
          <w:i/>
          <w:noProof/>
          <w:spacing w:val="-2"/>
          <w:lang w:val="ro-RO"/>
        </w:rPr>
        <w:t>Analiză matematică</w:t>
      </w:r>
      <w:r w:rsidRPr="00F22996">
        <w:rPr>
          <w:bCs/>
          <w:noProof/>
          <w:spacing w:val="-2"/>
          <w:lang w:val="ro-RO"/>
        </w:rPr>
        <w:t xml:space="preserve">. Vol. 1, Editura ANMB, Constanța, 200 pagini, ISBN 978-606-642-211-6 </w:t>
      </w:r>
    </w:p>
    <w:p w14:paraId="267B9985" w14:textId="77777777" w:rsidR="00F22996" w:rsidRPr="00F22996" w:rsidRDefault="00F22996" w:rsidP="00F22996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497D8855" w14:textId="480354C0" w:rsidR="00F22996" w:rsidRPr="00DE1B95" w:rsidRDefault="00F22996" w:rsidP="00F22996">
      <w:pPr>
        <w:numPr>
          <w:ilvl w:val="0"/>
          <w:numId w:val="11"/>
        </w:numPr>
        <w:tabs>
          <w:tab w:val="left" w:pos="142"/>
          <w:tab w:val="left" w:pos="399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F22996">
        <w:rPr>
          <w:b/>
          <w:noProof/>
          <w:spacing w:val="-2"/>
          <w:lang w:val="ro-RO"/>
        </w:rPr>
        <w:t xml:space="preserve">Lucrări indexate ISI/BDI publicate în ultimii 10 ani </w:t>
      </w:r>
    </w:p>
    <w:p w14:paraId="6078234C" w14:textId="19E548C9" w:rsidR="00DE1B95" w:rsidRPr="00DE1B95" w:rsidRDefault="00DE1B95" w:rsidP="00DE1B95">
      <w:pPr>
        <w:numPr>
          <w:ilvl w:val="0"/>
          <w:numId w:val="16"/>
        </w:numPr>
        <w:tabs>
          <w:tab w:val="left" w:pos="142"/>
          <w:tab w:val="left" w:pos="399"/>
        </w:tabs>
        <w:spacing w:line="320" w:lineRule="atLeast"/>
        <w:jc w:val="both"/>
        <w:rPr>
          <w:i/>
          <w:iCs/>
          <w:noProof/>
          <w:spacing w:val="-2"/>
        </w:rPr>
      </w:pPr>
      <w:r w:rsidRPr="00F22996">
        <w:rPr>
          <w:bCs/>
          <w:noProof/>
          <w:spacing w:val="-2"/>
        </w:rPr>
        <w:t xml:space="preserve">Rusu, A., </w:t>
      </w:r>
      <w:r w:rsidRPr="00F22996">
        <w:rPr>
          <w:b/>
          <w:noProof/>
          <w:spacing w:val="-2"/>
        </w:rPr>
        <w:t>Sebe, G. I.</w:t>
      </w:r>
      <w:r w:rsidRPr="00F22996">
        <w:rPr>
          <w:bCs/>
          <w:noProof/>
          <w:spacing w:val="-2"/>
        </w:rPr>
        <w:t xml:space="preserve">, (2026) </w:t>
      </w:r>
      <w:r w:rsidRPr="00F22996">
        <w:rPr>
          <w:bCs/>
          <w:i/>
          <w:iCs/>
          <w:noProof/>
          <w:spacing w:val="-2"/>
        </w:rPr>
        <w:t xml:space="preserve">Hausdorff Dimension of Growth Rate Level Sets in </w:t>
      </w:r>
      <w:r w:rsidRPr="00F22996">
        <w:rPr>
          <w:i/>
          <w:noProof/>
          <w:spacing w:val="-2"/>
        </w:rPr>
        <w:t>θ-expansions,</w:t>
      </w:r>
      <w:r>
        <w:rPr>
          <w:i/>
          <w:noProof/>
          <w:spacing w:val="-2"/>
        </w:rPr>
        <w:t xml:space="preserve"> </w:t>
      </w:r>
      <w:r w:rsidRPr="00F22996">
        <w:rPr>
          <w:b/>
          <w:noProof/>
          <w:spacing w:val="-2"/>
        </w:rPr>
        <w:t>Discrete and Continuous Dynamical Systems - Series S</w:t>
      </w:r>
      <w:r w:rsidRPr="00F22996">
        <w:rPr>
          <w:bCs/>
          <w:noProof/>
          <w:spacing w:val="-2"/>
        </w:rPr>
        <w:t xml:space="preserve"> </w:t>
      </w:r>
      <w:r w:rsidRPr="00F22996">
        <w:rPr>
          <w:b/>
          <w:noProof/>
          <w:spacing w:val="-2"/>
        </w:rPr>
        <w:t>32</w:t>
      </w:r>
      <w:r w:rsidRPr="00F22996">
        <w:rPr>
          <w:bCs/>
          <w:noProof/>
          <w:spacing w:val="-2"/>
        </w:rPr>
        <w:t>, pp. 46-61,</w:t>
      </w:r>
      <w:r>
        <w:rPr>
          <w:i/>
          <w:noProof/>
          <w:spacing w:val="-2"/>
        </w:rPr>
        <w:t xml:space="preserve"> </w:t>
      </w:r>
      <w:r w:rsidRPr="00F22996">
        <w:rPr>
          <w:bCs/>
          <w:noProof/>
          <w:spacing w:val="-2"/>
          <w:u w:val="single"/>
        </w:rPr>
        <w:t>doi: </w:t>
      </w:r>
      <w:hyperlink r:id="rId10" w:tgtFrame="_blank" w:history="1">
        <w:r w:rsidRPr="00F22996">
          <w:rPr>
            <w:rStyle w:val="Hyperlink"/>
            <w:bCs/>
            <w:noProof/>
            <w:spacing w:val="-2"/>
          </w:rPr>
          <w:t>10.3934/dcdss.2026116</w:t>
        </w:r>
      </w:hyperlink>
    </w:p>
    <w:p w14:paraId="69303095" w14:textId="39C1F245" w:rsidR="00F22996" w:rsidRDefault="00F22996" w:rsidP="00DE1B95">
      <w:pPr>
        <w:numPr>
          <w:ilvl w:val="0"/>
          <w:numId w:val="16"/>
        </w:numPr>
        <w:tabs>
          <w:tab w:val="left" w:pos="142"/>
          <w:tab w:val="left" w:pos="399"/>
        </w:tabs>
        <w:spacing w:line="320" w:lineRule="atLeast"/>
        <w:jc w:val="both"/>
        <w:rPr>
          <w:i/>
          <w:iCs/>
          <w:noProof/>
          <w:spacing w:val="-2"/>
        </w:rPr>
      </w:pPr>
      <w:r w:rsidRPr="00F22996">
        <w:rPr>
          <w:b/>
          <w:bCs/>
          <w:noProof/>
          <w:spacing w:val="-2"/>
        </w:rPr>
        <w:t>Sebe, G. I</w:t>
      </w:r>
      <w:r w:rsidRPr="00F22996">
        <w:rPr>
          <w:noProof/>
          <w:spacing w:val="-2"/>
        </w:rPr>
        <w:t>., Lascu, D., Selmi, B., (2025) </w:t>
      </w:r>
      <w:r w:rsidRPr="00F22996">
        <w:rPr>
          <w:i/>
          <w:iCs/>
          <w:noProof/>
          <w:spacing w:val="-2"/>
        </w:rPr>
        <w:t>On the fractal dimension and structure of exceptional</w:t>
      </w:r>
    </w:p>
    <w:p w14:paraId="78C4BC89" w14:textId="3D762626" w:rsidR="00F22996" w:rsidRPr="00F22996" w:rsidRDefault="00F22996" w:rsidP="00F22996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  <w:r>
        <w:rPr>
          <w:i/>
          <w:iCs/>
          <w:noProof/>
          <w:spacing w:val="-2"/>
        </w:rPr>
        <w:t xml:space="preserve">            </w:t>
      </w:r>
      <w:r w:rsidRPr="00F22996">
        <w:rPr>
          <w:i/>
          <w:iCs/>
          <w:noProof/>
          <w:spacing w:val="-2"/>
        </w:rPr>
        <w:t xml:space="preserve"> sets in θ-expansions, </w:t>
      </w:r>
      <w:r w:rsidRPr="00F22996">
        <w:rPr>
          <w:b/>
          <w:bCs/>
          <w:noProof/>
          <w:spacing w:val="-2"/>
        </w:rPr>
        <w:t>Portugaliae Mathematica</w:t>
      </w:r>
      <w:r w:rsidRPr="00F22996">
        <w:rPr>
          <w:noProof/>
          <w:spacing w:val="-2"/>
        </w:rPr>
        <w:t>, published online first,</w:t>
      </w:r>
    </w:p>
    <w:p w14:paraId="2E81D001" w14:textId="5F159785" w:rsidR="00F22996" w:rsidRPr="00F22996" w:rsidRDefault="00F22996" w:rsidP="00F22996">
      <w:pPr>
        <w:tabs>
          <w:tab w:val="left" w:pos="142"/>
          <w:tab w:val="left" w:pos="399"/>
        </w:tabs>
        <w:spacing w:line="320" w:lineRule="atLeast"/>
        <w:jc w:val="both"/>
        <w:rPr>
          <w:b/>
          <w:bCs/>
          <w:noProof/>
          <w:spacing w:val="-2"/>
        </w:rPr>
      </w:pPr>
      <w:r>
        <w:rPr>
          <w:noProof/>
          <w:spacing w:val="-2"/>
        </w:rPr>
        <w:t xml:space="preserve">            </w:t>
      </w:r>
      <w:r w:rsidRPr="00F22996">
        <w:rPr>
          <w:noProof/>
          <w:spacing w:val="-2"/>
        </w:rPr>
        <w:t> </w:t>
      </w:r>
      <w:hyperlink r:id="rId11" w:history="1">
        <w:r w:rsidRPr="00F22996">
          <w:rPr>
            <w:rStyle w:val="Hyperlink"/>
            <w:noProof/>
            <w:spacing w:val="-2"/>
          </w:rPr>
          <w:t>https://doi.org/10.4171/pm/2154</w:t>
        </w:r>
      </w:hyperlink>
    </w:p>
    <w:p w14:paraId="3C4C2080" w14:textId="77777777" w:rsidR="00F22996" w:rsidRPr="00F22996" w:rsidRDefault="00F22996" w:rsidP="00DE1B95">
      <w:pPr>
        <w:numPr>
          <w:ilvl w:val="0"/>
          <w:numId w:val="16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F22996">
        <w:rPr>
          <w:bCs/>
          <w:noProof/>
          <w:spacing w:val="-2"/>
        </w:rPr>
        <w:t>Lascu, D</w:t>
      </w:r>
      <w:r w:rsidRPr="00F22996">
        <w:rPr>
          <w:b/>
          <w:noProof/>
          <w:spacing w:val="-2"/>
        </w:rPr>
        <w:t>., Sebe, G.I</w:t>
      </w:r>
      <w:r w:rsidRPr="00F22996">
        <w:rPr>
          <w:bCs/>
          <w:noProof/>
          <w:spacing w:val="-2"/>
        </w:rPr>
        <w:t>., (2025</w:t>
      </w:r>
      <w:r w:rsidRPr="00F22996">
        <w:rPr>
          <w:bCs/>
          <w:i/>
          <w:iCs/>
          <w:noProof/>
          <w:spacing w:val="-2"/>
        </w:rPr>
        <w:t xml:space="preserve">)  Exploring Gauss-Kuzmin-type problems and a variant of the Borel-Bernstein theorem for Rényi- type   continued fraction expansions, </w:t>
      </w:r>
      <w:r w:rsidRPr="00F22996">
        <w:rPr>
          <w:b/>
          <w:bCs/>
          <w:noProof/>
          <w:spacing w:val="-2"/>
        </w:rPr>
        <w:t xml:space="preserve">Arabian Journal of Mathematics, </w:t>
      </w:r>
      <w:hyperlink r:id="rId12" w:history="1">
        <w:r w:rsidRPr="00F22996">
          <w:rPr>
            <w:rStyle w:val="Hyperlink"/>
            <w:noProof/>
            <w:spacing w:val="-2"/>
          </w:rPr>
          <w:t>https://doi.org/10.1007/s40065-025-00582-4</w:t>
        </w:r>
      </w:hyperlink>
    </w:p>
    <w:p w14:paraId="4F8795D5" w14:textId="77777777" w:rsidR="00F22996" w:rsidRPr="00F22996" w:rsidRDefault="00F22996" w:rsidP="00DE1B95">
      <w:pPr>
        <w:numPr>
          <w:ilvl w:val="0"/>
          <w:numId w:val="16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  <w:r w:rsidRPr="00F22996">
        <w:rPr>
          <w:b/>
          <w:noProof/>
          <w:spacing w:val="-2"/>
        </w:rPr>
        <w:t>Sebe, G.I.</w:t>
      </w:r>
      <w:r w:rsidRPr="00F22996">
        <w:rPr>
          <w:noProof/>
          <w:spacing w:val="-2"/>
        </w:rPr>
        <w:t xml:space="preserve">, Lascu, D.(2022) </w:t>
      </w:r>
      <w:r w:rsidRPr="00F22996">
        <w:rPr>
          <w:i/>
          <w:noProof/>
          <w:spacing w:val="-2"/>
        </w:rPr>
        <w:t>Two asymptotic distributions related to Rényi-type continued fraction expansions</w:t>
      </w:r>
      <w:r w:rsidRPr="00F22996">
        <w:rPr>
          <w:noProof/>
          <w:spacing w:val="-2"/>
        </w:rPr>
        <w:t xml:space="preserve">, </w:t>
      </w:r>
      <w:r w:rsidRPr="00F22996">
        <w:rPr>
          <w:b/>
          <w:noProof/>
          <w:spacing w:val="-2"/>
        </w:rPr>
        <w:t xml:space="preserve">Periodica Mathematica Hungarica 85 </w:t>
      </w:r>
      <w:r w:rsidRPr="00F22996">
        <w:rPr>
          <w:noProof/>
          <w:spacing w:val="-2"/>
        </w:rPr>
        <w:t xml:space="preserve">(2), pp. 380-398,  </w:t>
      </w:r>
      <w:hyperlink r:id="rId13" w:history="1">
        <w:r w:rsidRPr="00F22996">
          <w:rPr>
            <w:rStyle w:val="Hyperlink"/>
            <w:noProof/>
            <w:spacing w:val="-2"/>
          </w:rPr>
          <w:t>https://doi.org/10.1007/s10998-021-00444-4</w:t>
        </w:r>
      </w:hyperlink>
    </w:p>
    <w:p w14:paraId="1F8BE339" w14:textId="77777777" w:rsidR="00F22996" w:rsidRPr="00F22996" w:rsidRDefault="00F22996" w:rsidP="00DE1B95">
      <w:pPr>
        <w:numPr>
          <w:ilvl w:val="0"/>
          <w:numId w:val="16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  <w:r w:rsidRPr="00F22996">
        <w:rPr>
          <w:b/>
          <w:noProof/>
          <w:spacing w:val="-2"/>
        </w:rPr>
        <w:t>Sebe, G.I.</w:t>
      </w:r>
      <w:r w:rsidRPr="00F22996">
        <w:rPr>
          <w:noProof/>
          <w:spacing w:val="-2"/>
        </w:rPr>
        <w:t xml:space="preserve">, Lascu, D. (2022) </w:t>
      </w:r>
      <w:r w:rsidRPr="00F22996">
        <w:rPr>
          <w:i/>
          <w:noProof/>
          <w:spacing w:val="-2"/>
        </w:rPr>
        <w:t xml:space="preserve">Some asymptotic results for the continued fraction expansions with odd partial quotients, </w:t>
      </w:r>
      <w:r w:rsidRPr="00F22996">
        <w:rPr>
          <w:b/>
          <w:noProof/>
          <w:spacing w:val="-2"/>
        </w:rPr>
        <w:t xml:space="preserve">Turkish Journal of Mathematics 46 </w:t>
      </w:r>
      <w:r w:rsidRPr="00F22996">
        <w:rPr>
          <w:noProof/>
          <w:spacing w:val="-2"/>
        </w:rPr>
        <w:t xml:space="preserve">(7) pp. 3011-3024, </w:t>
      </w:r>
      <w:hyperlink r:id="rId14" w:history="1">
        <w:r w:rsidRPr="00F22996">
          <w:rPr>
            <w:rStyle w:val="Hyperlink"/>
            <w:noProof/>
            <w:spacing w:val="-2"/>
          </w:rPr>
          <w:t>https://doi.org/10.55730/1300-0098.3315</w:t>
        </w:r>
      </w:hyperlink>
    </w:p>
    <w:p w14:paraId="5498C930" w14:textId="77777777" w:rsidR="00F22996" w:rsidRPr="00F22996" w:rsidRDefault="00F22996" w:rsidP="00DE1B95">
      <w:pPr>
        <w:numPr>
          <w:ilvl w:val="0"/>
          <w:numId w:val="16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  <w:r w:rsidRPr="00F22996">
        <w:rPr>
          <w:noProof/>
          <w:spacing w:val="-2"/>
        </w:rPr>
        <w:lastRenderedPageBreak/>
        <w:t xml:space="preserve">Lascu, D., </w:t>
      </w:r>
      <w:r w:rsidRPr="00F22996">
        <w:rPr>
          <w:b/>
          <w:noProof/>
          <w:spacing w:val="-2"/>
        </w:rPr>
        <w:t>Sebe, G.I.</w:t>
      </w:r>
      <w:r w:rsidRPr="00F22996">
        <w:rPr>
          <w:noProof/>
          <w:spacing w:val="-2"/>
        </w:rPr>
        <w:t xml:space="preserve"> (2021)</w:t>
      </w:r>
      <w:r w:rsidRPr="00F22996">
        <w:rPr>
          <w:i/>
          <w:noProof/>
          <w:spacing w:val="-2"/>
        </w:rPr>
        <w:t>A Lochs-Type Approach via Entropy in Comparing the Efficiency of Different Continued Fraction Algorithms</w:t>
      </w:r>
      <w:r w:rsidRPr="00F22996">
        <w:rPr>
          <w:noProof/>
          <w:spacing w:val="-2"/>
        </w:rPr>
        <w:t xml:space="preserve">, </w:t>
      </w:r>
      <w:r w:rsidRPr="00F22996">
        <w:rPr>
          <w:b/>
          <w:noProof/>
          <w:spacing w:val="-2"/>
        </w:rPr>
        <w:t>Mathematics 9</w:t>
      </w:r>
      <w:r w:rsidRPr="00F22996">
        <w:rPr>
          <w:noProof/>
          <w:spacing w:val="-2"/>
        </w:rPr>
        <w:t xml:space="preserve"> (3) 255</w:t>
      </w:r>
      <w:r w:rsidRPr="00F22996">
        <w:rPr>
          <w:noProof/>
          <w:spacing w:val="-2"/>
          <w:u w:val="single"/>
        </w:rPr>
        <w:t xml:space="preserve">, </w:t>
      </w:r>
      <w:hyperlink r:id="rId15" w:tgtFrame="_blank" w:history="1">
        <w:r w:rsidRPr="00F22996">
          <w:rPr>
            <w:rStyle w:val="Hyperlink"/>
            <w:noProof/>
            <w:spacing w:val="-2"/>
          </w:rPr>
          <w:t>https://doi.org/10.3390/math9030255</w:t>
        </w:r>
      </w:hyperlink>
    </w:p>
    <w:p w14:paraId="046B1B38" w14:textId="77777777" w:rsidR="00F22996" w:rsidRPr="00F22996" w:rsidRDefault="00F22996" w:rsidP="00DE1B95">
      <w:pPr>
        <w:numPr>
          <w:ilvl w:val="0"/>
          <w:numId w:val="16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  <w:r w:rsidRPr="00F22996">
        <w:rPr>
          <w:b/>
          <w:noProof/>
          <w:spacing w:val="-2"/>
        </w:rPr>
        <w:t xml:space="preserve">Sebe, G.I., </w:t>
      </w:r>
      <w:r w:rsidRPr="00F22996">
        <w:rPr>
          <w:noProof/>
          <w:spacing w:val="-2"/>
        </w:rPr>
        <w:t>Lascu, D. (2020)</w:t>
      </w:r>
      <w:r w:rsidRPr="00F22996">
        <w:rPr>
          <w:i/>
          <w:noProof/>
          <w:spacing w:val="-2"/>
        </w:rPr>
        <w:t>A two-dimensional Gauss-Kuzmin theorem for N-continued fraction expansions</w:t>
      </w:r>
      <w:r w:rsidRPr="00F22996">
        <w:rPr>
          <w:noProof/>
          <w:spacing w:val="-2"/>
        </w:rPr>
        <w:t xml:space="preserve">, </w:t>
      </w:r>
      <w:r w:rsidRPr="00F22996">
        <w:rPr>
          <w:b/>
          <w:noProof/>
          <w:spacing w:val="-2"/>
        </w:rPr>
        <w:t xml:space="preserve">Publicationes Mathematicae Debrecen 96 </w:t>
      </w:r>
      <w:r w:rsidRPr="00F22996">
        <w:rPr>
          <w:noProof/>
          <w:spacing w:val="-2"/>
        </w:rPr>
        <w:t xml:space="preserve">(3-4), pp. 291-314, DOI:10.5486/PMD.2020.8536, </w:t>
      </w:r>
      <w:r w:rsidRPr="00F22996">
        <w:rPr>
          <w:noProof/>
          <w:spacing w:val="-2"/>
          <w:u w:val="single"/>
        </w:rPr>
        <w:t>https://publi.math.unideb.hu/load_doc.php?p=2371&amp;t=abs</w:t>
      </w:r>
    </w:p>
    <w:p w14:paraId="1BFFF296" w14:textId="77777777" w:rsidR="00F22996" w:rsidRPr="00F22996" w:rsidRDefault="00F22996" w:rsidP="00DE1B95">
      <w:pPr>
        <w:numPr>
          <w:ilvl w:val="0"/>
          <w:numId w:val="16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  <w:r w:rsidRPr="00F22996">
        <w:rPr>
          <w:b/>
          <w:noProof/>
          <w:spacing w:val="-2"/>
        </w:rPr>
        <w:t>Sebe, G.I.</w:t>
      </w:r>
      <w:r w:rsidRPr="00F22996">
        <w:rPr>
          <w:noProof/>
          <w:spacing w:val="-2"/>
        </w:rPr>
        <w:t xml:space="preserve">, Lascu, D. (2020) </w:t>
      </w:r>
      <w:r w:rsidRPr="00F22996">
        <w:rPr>
          <w:i/>
          <w:noProof/>
          <w:spacing w:val="-2"/>
        </w:rPr>
        <w:t>Convergence rate for Rényi-type continued fraction expansions</w:t>
      </w:r>
      <w:r w:rsidRPr="00F22996">
        <w:rPr>
          <w:noProof/>
          <w:spacing w:val="-2"/>
        </w:rPr>
        <w:t xml:space="preserve">, </w:t>
      </w:r>
      <w:r w:rsidRPr="00F22996">
        <w:rPr>
          <w:b/>
          <w:noProof/>
          <w:spacing w:val="-2"/>
        </w:rPr>
        <w:t>Periodica Mathematica Hungarica 81</w:t>
      </w:r>
      <w:r w:rsidRPr="00F22996">
        <w:rPr>
          <w:noProof/>
          <w:spacing w:val="-2"/>
        </w:rPr>
        <w:t xml:space="preserve">(2), pp. 239-249, </w:t>
      </w:r>
      <w:r w:rsidRPr="00F22996">
        <w:rPr>
          <w:noProof/>
          <w:spacing w:val="-2"/>
          <w:u w:val="single"/>
        </w:rPr>
        <w:t>https://doi.org/10.1007/s10998-020-00325-2</w:t>
      </w:r>
    </w:p>
    <w:p w14:paraId="450A23A8" w14:textId="77777777" w:rsidR="00F22996" w:rsidRPr="00F22996" w:rsidRDefault="00F22996" w:rsidP="00DE1B95">
      <w:pPr>
        <w:numPr>
          <w:ilvl w:val="0"/>
          <w:numId w:val="16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  <w:r w:rsidRPr="00F22996">
        <w:rPr>
          <w:noProof/>
          <w:spacing w:val="-2"/>
        </w:rPr>
        <w:t xml:space="preserve">Lascu, D., </w:t>
      </w:r>
      <w:r w:rsidRPr="00F22996">
        <w:rPr>
          <w:b/>
          <w:noProof/>
          <w:spacing w:val="-2"/>
        </w:rPr>
        <w:t>Sebe, G.I.</w:t>
      </w:r>
      <w:r w:rsidRPr="00F22996">
        <w:rPr>
          <w:noProof/>
          <w:spacing w:val="-2"/>
        </w:rPr>
        <w:t xml:space="preserve"> (2020) </w:t>
      </w:r>
      <w:r w:rsidRPr="00F22996">
        <w:rPr>
          <w:i/>
          <w:noProof/>
          <w:spacing w:val="-2"/>
        </w:rPr>
        <w:t>A Gauss-Kuzmin-Lévy theorem for Rényi-type continued fractions</w:t>
      </w:r>
      <w:r w:rsidRPr="00F22996">
        <w:rPr>
          <w:noProof/>
          <w:spacing w:val="-2"/>
        </w:rPr>
        <w:t xml:space="preserve">, </w:t>
      </w:r>
      <w:r w:rsidRPr="00F22996">
        <w:rPr>
          <w:b/>
          <w:noProof/>
          <w:spacing w:val="-2"/>
        </w:rPr>
        <w:t xml:space="preserve">Acta Arithmetica 193 </w:t>
      </w:r>
      <w:r w:rsidRPr="00F22996">
        <w:rPr>
          <w:noProof/>
          <w:spacing w:val="-2"/>
        </w:rPr>
        <w:t>(3),  pp. 283-292</w:t>
      </w:r>
      <w:r w:rsidRPr="00F22996">
        <w:rPr>
          <w:noProof/>
          <w:spacing w:val="-2"/>
          <w:u w:val="single"/>
        </w:rPr>
        <w:t>,  </w:t>
      </w:r>
      <w:hyperlink r:id="rId16" w:tgtFrame="_blank" w:history="1">
        <w:r w:rsidRPr="00F22996">
          <w:rPr>
            <w:rStyle w:val="Hyperlink"/>
            <w:noProof/>
            <w:spacing w:val="-2"/>
          </w:rPr>
          <w:t>DOI: 10.4064/aa181009-18-2</w:t>
        </w:r>
      </w:hyperlink>
    </w:p>
    <w:p w14:paraId="3106C298" w14:textId="77777777" w:rsidR="00F22996" w:rsidRPr="00F22996" w:rsidRDefault="00F22996" w:rsidP="00DE1B95">
      <w:pPr>
        <w:numPr>
          <w:ilvl w:val="0"/>
          <w:numId w:val="16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  <w:r w:rsidRPr="00F22996">
        <w:rPr>
          <w:noProof/>
          <w:spacing w:val="-2"/>
        </w:rPr>
        <w:t xml:space="preserve">Lascu, D., </w:t>
      </w:r>
      <w:r w:rsidRPr="00F22996">
        <w:rPr>
          <w:b/>
          <w:noProof/>
          <w:spacing w:val="-2"/>
        </w:rPr>
        <w:t>Sebe, G.I.</w:t>
      </w:r>
      <w:r w:rsidRPr="00F22996">
        <w:rPr>
          <w:noProof/>
          <w:spacing w:val="-2"/>
        </w:rPr>
        <w:t xml:space="preserve"> (2020) </w:t>
      </w:r>
      <w:r w:rsidRPr="00F22996">
        <w:rPr>
          <w:i/>
          <w:noProof/>
          <w:spacing w:val="-2"/>
        </w:rPr>
        <w:t>A dependence with complete connections approach to generalized Rényi continued fractions</w:t>
      </w:r>
      <w:r w:rsidRPr="00F22996">
        <w:rPr>
          <w:noProof/>
          <w:spacing w:val="-2"/>
        </w:rPr>
        <w:t xml:space="preserve">, </w:t>
      </w:r>
      <w:r w:rsidRPr="00F22996">
        <w:rPr>
          <w:b/>
          <w:noProof/>
          <w:spacing w:val="-2"/>
        </w:rPr>
        <w:t xml:space="preserve">Acta Mathematica Hungarica 160 </w:t>
      </w:r>
      <w:r w:rsidRPr="00F22996">
        <w:rPr>
          <w:noProof/>
          <w:spacing w:val="-2"/>
        </w:rPr>
        <w:t xml:space="preserve">(2), pp. 292-313, </w:t>
      </w:r>
      <w:hyperlink r:id="rId17" w:history="1">
        <w:r w:rsidRPr="00F22996">
          <w:rPr>
            <w:rStyle w:val="Hyperlink"/>
            <w:noProof/>
            <w:spacing w:val="-2"/>
          </w:rPr>
          <w:t>https://doi.org/10.1007/s10474-019-00974-x</w:t>
        </w:r>
      </w:hyperlink>
    </w:p>
    <w:p w14:paraId="6B63FD89" w14:textId="77777777" w:rsidR="00F22996" w:rsidRPr="00F22996" w:rsidRDefault="00F22996" w:rsidP="00DE1B95">
      <w:pPr>
        <w:numPr>
          <w:ilvl w:val="0"/>
          <w:numId w:val="16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  <w:r w:rsidRPr="00F22996">
        <w:rPr>
          <w:b/>
          <w:noProof/>
          <w:spacing w:val="-2"/>
        </w:rPr>
        <w:t>Sebe, G.I.</w:t>
      </w:r>
      <w:r w:rsidRPr="00F22996">
        <w:rPr>
          <w:noProof/>
          <w:spacing w:val="-2"/>
        </w:rPr>
        <w:t xml:space="preserve">, Lascu, D. (2019) </w:t>
      </w:r>
      <w:r w:rsidRPr="00F22996">
        <w:rPr>
          <w:i/>
          <w:noProof/>
          <w:spacing w:val="-2"/>
        </w:rPr>
        <w:t>On convergence rate in the Gauss-Kuzmin problem for θ-expansions</w:t>
      </w:r>
      <w:r w:rsidRPr="00F22996">
        <w:rPr>
          <w:noProof/>
          <w:spacing w:val="-2"/>
        </w:rPr>
        <w:t xml:space="preserve">, </w:t>
      </w:r>
      <w:r w:rsidRPr="00F22996">
        <w:rPr>
          <w:b/>
          <w:noProof/>
          <w:spacing w:val="-2"/>
        </w:rPr>
        <w:t>Journal of Number Theory 195</w:t>
      </w:r>
      <w:r w:rsidRPr="00F22996">
        <w:rPr>
          <w:noProof/>
          <w:spacing w:val="-2"/>
        </w:rPr>
        <w:t>, pp. 51-71,</w:t>
      </w:r>
      <w:hyperlink r:id="rId18" w:tgtFrame="_blank" w:tooltip="Persistent link using digital object identifier" w:history="1">
        <w:r w:rsidRPr="00F22996">
          <w:rPr>
            <w:rStyle w:val="Hyperlink"/>
            <w:noProof/>
            <w:spacing w:val="-2"/>
          </w:rPr>
          <w:t>https://doi.org/10.1016/j.jnt.2018.05.018</w:t>
        </w:r>
      </w:hyperlink>
    </w:p>
    <w:p w14:paraId="76025313" w14:textId="77777777" w:rsidR="00F22996" w:rsidRPr="00F22996" w:rsidRDefault="00F22996" w:rsidP="00DE1B95">
      <w:pPr>
        <w:numPr>
          <w:ilvl w:val="0"/>
          <w:numId w:val="16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  <w:r w:rsidRPr="00F22996">
        <w:rPr>
          <w:b/>
          <w:noProof/>
          <w:spacing w:val="-2"/>
        </w:rPr>
        <w:t xml:space="preserve">Sebe, G.I. </w:t>
      </w:r>
      <w:r w:rsidRPr="00F22996">
        <w:rPr>
          <w:noProof/>
          <w:spacing w:val="-2"/>
        </w:rPr>
        <w:t xml:space="preserve">(2017) </w:t>
      </w:r>
      <w:r w:rsidRPr="00F22996">
        <w:rPr>
          <w:i/>
          <w:noProof/>
          <w:spacing w:val="-2"/>
        </w:rPr>
        <w:t xml:space="preserve">A near-optimal solution to the Gauss-Kuzmin-Lévy problem for </w:t>
      </w:r>
      <w:r w:rsidRPr="00F22996">
        <w:rPr>
          <w:i/>
          <w:iCs/>
          <w:noProof/>
          <w:spacing w:val="-2"/>
        </w:rPr>
        <w:t xml:space="preserve">θ-expansions, </w:t>
      </w:r>
      <w:r w:rsidRPr="00F22996">
        <w:rPr>
          <w:b/>
          <w:bCs/>
          <w:noProof/>
          <w:spacing w:val="-2"/>
        </w:rPr>
        <w:t>Journal of Number Theory 171</w:t>
      </w:r>
      <w:r w:rsidRPr="00F22996">
        <w:rPr>
          <w:noProof/>
          <w:spacing w:val="-2"/>
        </w:rPr>
        <w:t xml:space="preserve">, pp. 43-55, </w:t>
      </w:r>
      <w:hyperlink r:id="rId19" w:history="1">
        <w:r w:rsidRPr="00F22996">
          <w:rPr>
            <w:rStyle w:val="Hyperlink"/>
            <w:noProof/>
            <w:spacing w:val="-2"/>
          </w:rPr>
          <w:t>https://doi.org/10.1016/j.jnt.2018.05.018</w:t>
        </w:r>
      </w:hyperlink>
    </w:p>
    <w:p w14:paraId="357AE707" w14:textId="77777777" w:rsidR="00FD3EFC" w:rsidRDefault="00F22996" w:rsidP="00DE1B95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lang w:val="ro-RO" w:eastAsia="hi-IN"/>
        </w:rPr>
      </w:pPr>
      <w:r w:rsidRPr="00F22996">
        <w:rPr>
          <w:b/>
          <w:noProof/>
          <w:spacing w:val="-2"/>
        </w:rPr>
        <w:t>Sebe, G.I.</w:t>
      </w:r>
      <w:r w:rsidRPr="00F22996">
        <w:rPr>
          <w:noProof/>
          <w:spacing w:val="-2"/>
        </w:rPr>
        <w:t xml:space="preserve">, Lascu, D. (2016)  </w:t>
      </w:r>
      <w:r w:rsidRPr="00F22996">
        <w:rPr>
          <w:i/>
          <w:noProof/>
          <w:spacing w:val="-2"/>
        </w:rPr>
        <w:t>Recent advances in the metric theory of θ-expansions,</w:t>
      </w:r>
      <w:r w:rsidRPr="00F22996">
        <w:rPr>
          <w:i/>
          <w:iCs/>
          <w:noProof/>
          <w:spacing w:val="-2"/>
        </w:rPr>
        <w:t> </w:t>
      </w:r>
      <w:r w:rsidRPr="00F22996">
        <w:rPr>
          <w:noProof/>
          <w:spacing w:val="-2"/>
        </w:rPr>
        <w:t xml:space="preserve">Annals of the University of Craiova, Mathematics and Computer Science Series </w:t>
      </w:r>
      <w:r w:rsidRPr="00F22996">
        <w:rPr>
          <w:b/>
          <w:noProof/>
          <w:spacing w:val="-2"/>
        </w:rPr>
        <w:t xml:space="preserve">43 </w:t>
      </w:r>
      <w:r w:rsidRPr="00F22996">
        <w:rPr>
          <w:noProof/>
          <w:spacing w:val="-2"/>
        </w:rPr>
        <w:t>(1), pp. 88–93, ISSN</w:t>
      </w:r>
      <w:r w:rsidR="00FD3EFC">
        <w:t xml:space="preserve">1223–6934 </w:t>
      </w:r>
    </w:p>
    <w:p w14:paraId="46FDB86E" w14:textId="77777777" w:rsidR="00FD3EFC" w:rsidRDefault="00FD3EFC" w:rsidP="00DE1B95">
      <w:pPr>
        <w:numPr>
          <w:ilvl w:val="0"/>
          <w:numId w:val="16"/>
        </w:numPr>
        <w:overflowPunct w:val="0"/>
        <w:autoSpaceDE w:val="0"/>
        <w:autoSpaceDN w:val="0"/>
        <w:adjustRightInd w:val="0"/>
        <w:jc w:val="both"/>
        <w:textAlignment w:val="baseline"/>
        <w:rPr>
          <w:lang w:val="ro-RO" w:eastAsia="hi-IN"/>
        </w:rPr>
      </w:pPr>
      <w:r>
        <w:t>Lascu D</w:t>
      </w:r>
      <w:r>
        <w:rPr>
          <w:b/>
        </w:rPr>
        <w:t>.</w:t>
      </w:r>
      <w:r>
        <w:t>,</w:t>
      </w:r>
      <w:r>
        <w:rPr>
          <w:b/>
        </w:rPr>
        <w:t xml:space="preserve"> Sebe, G.I. </w:t>
      </w:r>
      <w:r>
        <w:t xml:space="preserve">(2016) </w:t>
      </w:r>
      <w:r>
        <w:rPr>
          <w:i/>
        </w:rPr>
        <w:t xml:space="preserve">New perspectives in the metric theory of continued fraction expansion related to Fibonacci type sequences, </w:t>
      </w:r>
      <w:r>
        <w:t xml:space="preserve">Scientific Bulletin of Naval Academy </w:t>
      </w:r>
      <w:r>
        <w:rPr>
          <w:b/>
        </w:rPr>
        <w:t>XIX</w:t>
      </w:r>
      <w:r>
        <w:t xml:space="preserve"> (1) 433-436</w:t>
      </w:r>
    </w:p>
    <w:p w14:paraId="396E3B77" w14:textId="77777777" w:rsidR="00F22996" w:rsidRPr="00F22996" w:rsidRDefault="00F22996" w:rsidP="00F22996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1D46E9CC" w14:textId="6D7906BB" w:rsidR="00E36DA8" w:rsidRPr="00424B19" w:rsidRDefault="004F39EC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0" w:firstLine="0"/>
        <w:jc w:val="both"/>
        <w:rPr>
          <w:b/>
          <w:lang w:val="ro-RO"/>
        </w:rPr>
      </w:pPr>
      <w:r>
        <w:rPr>
          <w:b/>
          <w:lang w:val="ro-RO"/>
        </w:rPr>
        <w:t>Luc</w:t>
      </w:r>
      <w:r w:rsidR="00E36DA8" w:rsidRPr="00424B19">
        <w:rPr>
          <w:b/>
          <w:lang w:val="ro-RO"/>
        </w:rPr>
        <w:t>rări publicate în</w:t>
      </w:r>
      <w:r w:rsidR="00E36DA8">
        <w:rPr>
          <w:b/>
          <w:lang w:val="ro-RO"/>
        </w:rPr>
        <w:t xml:space="preserve"> ultimii 10</w:t>
      </w:r>
      <w:r w:rsidR="00E36DA8" w:rsidRPr="00424B19">
        <w:rPr>
          <w:b/>
          <w:lang w:val="ro-RO"/>
        </w:rPr>
        <w:t xml:space="preserve"> anii în reviste şi  volume de conferinţe cu referenţi </w:t>
      </w:r>
    </w:p>
    <w:p w14:paraId="1D46E9CD" w14:textId="77777777" w:rsidR="00E36DA8" w:rsidRPr="00424B19" w:rsidRDefault="00E36DA8" w:rsidP="00934BE1">
      <w:pPr>
        <w:tabs>
          <w:tab w:val="left" w:pos="456"/>
        </w:tabs>
        <w:spacing w:line="320" w:lineRule="atLeast"/>
        <w:jc w:val="both"/>
        <w:rPr>
          <w:b/>
          <w:lang w:val="ro-RO"/>
        </w:rPr>
      </w:pPr>
      <w:r w:rsidRPr="00424B19">
        <w:rPr>
          <w:b/>
          <w:lang w:val="ro-RO"/>
        </w:rPr>
        <w:tab/>
        <w:t xml:space="preserve">(neindexate) </w:t>
      </w:r>
    </w:p>
    <w:p w14:paraId="1D46E9CE" w14:textId="77777777" w:rsidR="00E36DA8" w:rsidRPr="00424B19" w:rsidRDefault="00E36DA8" w:rsidP="00934BE1">
      <w:pPr>
        <w:tabs>
          <w:tab w:val="left" w:pos="142"/>
        </w:tabs>
        <w:spacing w:line="320" w:lineRule="atLeast"/>
        <w:ind w:left="741"/>
        <w:jc w:val="both"/>
        <w:rPr>
          <w:b/>
          <w:lang w:val="ro-RO"/>
        </w:rPr>
      </w:pPr>
      <w:r w:rsidRPr="00424B19">
        <w:rPr>
          <w:b/>
          <w:lang w:val="ro-RO"/>
        </w:rPr>
        <w:t>- Reviste</w:t>
      </w:r>
    </w:p>
    <w:p w14:paraId="1D46E9D0" w14:textId="77777777" w:rsidR="00E36DA8" w:rsidRPr="00424B19" w:rsidRDefault="00E36DA8" w:rsidP="00934BE1">
      <w:pPr>
        <w:tabs>
          <w:tab w:val="left" w:pos="142"/>
        </w:tabs>
        <w:spacing w:line="320" w:lineRule="atLeast"/>
        <w:jc w:val="both"/>
        <w:rPr>
          <w:lang w:val="ro-RO"/>
        </w:rPr>
      </w:pPr>
    </w:p>
    <w:p w14:paraId="5EDBD041" w14:textId="77777777" w:rsidR="00E10805" w:rsidRPr="00E10805" w:rsidRDefault="00E36DA8" w:rsidP="00E10805">
      <w:pPr>
        <w:spacing w:line="320" w:lineRule="atLeast"/>
        <w:ind w:firstLine="741"/>
        <w:jc w:val="both"/>
        <w:rPr>
          <w:b/>
          <w:lang w:val="ro-RO"/>
        </w:rPr>
      </w:pPr>
      <w:r w:rsidRPr="00424B19">
        <w:rPr>
          <w:b/>
          <w:lang w:val="ro-RO"/>
        </w:rPr>
        <w:t xml:space="preserve">- Selecţie </w:t>
      </w:r>
      <w:r w:rsidR="00B1135A">
        <w:rPr>
          <w:b/>
          <w:lang w:val="ro-RO"/>
        </w:rPr>
        <w:t>de</w:t>
      </w:r>
      <w:r w:rsidRPr="00424B19">
        <w:rPr>
          <w:b/>
          <w:lang w:val="ro-RO"/>
        </w:rPr>
        <w:t xml:space="preserve"> lucrări în volume de conferinţe</w:t>
      </w:r>
      <w:r w:rsidR="00E10805">
        <w:rPr>
          <w:b/>
          <w:lang w:val="ro-RO"/>
        </w:rPr>
        <w:t xml:space="preserve"> </w:t>
      </w:r>
      <w:r w:rsidR="00E10805" w:rsidRPr="00E10805">
        <w:rPr>
          <w:b/>
          <w:lang w:val="ro-RO"/>
        </w:rPr>
        <w:t xml:space="preserve">internaţionale şi naţionale </w:t>
      </w:r>
    </w:p>
    <w:p w14:paraId="1D46E9D1" w14:textId="31D12E59" w:rsidR="00E36DA8" w:rsidRDefault="00E36DA8" w:rsidP="00934BE1">
      <w:pPr>
        <w:spacing w:line="320" w:lineRule="atLeast"/>
        <w:ind w:firstLine="741"/>
        <w:jc w:val="both"/>
        <w:rPr>
          <w:b/>
          <w:lang w:val="ro-RO"/>
        </w:rPr>
      </w:pPr>
    </w:p>
    <w:p w14:paraId="2B96756F" w14:textId="1BD560D3" w:rsidR="00DE1B95" w:rsidRPr="00832380" w:rsidRDefault="00DE1B95" w:rsidP="007F713B">
      <w:pPr>
        <w:numPr>
          <w:ilvl w:val="0"/>
          <w:numId w:val="17"/>
        </w:numPr>
        <w:overflowPunct w:val="0"/>
        <w:autoSpaceDE w:val="0"/>
        <w:autoSpaceDN w:val="0"/>
        <w:adjustRightInd w:val="0"/>
        <w:snapToGrid w:val="0"/>
        <w:jc w:val="both"/>
        <w:textAlignment w:val="baseline"/>
        <w:rPr>
          <w:bCs/>
        </w:rPr>
      </w:pPr>
      <w:r w:rsidRPr="00832380">
        <w:rPr>
          <w:bCs/>
          <w:lang w:val="ro-RO"/>
        </w:rPr>
        <w:t xml:space="preserve"> </w:t>
      </w:r>
      <w:r w:rsidRPr="00832380">
        <w:rPr>
          <w:bCs/>
        </w:rPr>
        <w:t>Prajitura</w:t>
      </w:r>
      <w:r w:rsidRPr="00832380">
        <w:rPr>
          <w:b/>
          <w:bCs/>
        </w:rPr>
        <w:t xml:space="preserve">, </w:t>
      </w:r>
      <w:r w:rsidRPr="00832380">
        <w:rPr>
          <w:bCs/>
        </w:rPr>
        <w:t xml:space="preserve">G.T., Galanopoulos, P., Girela, D., Popescu, G., </w:t>
      </w:r>
      <w:r w:rsidRPr="00832380">
        <w:rPr>
          <w:b/>
        </w:rPr>
        <w:t>Sebe</w:t>
      </w:r>
      <w:r w:rsidRPr="00832380">
        <w:t xml:space="preserve">, </w:t>
      </w:r>
      <w:r w:rsidRPr="00832380">
        <w:rPr>
          <w:b/>
        </w:rPr>
        <w:t xml:space="preserve">G.I., </w:t>
      </w:r>
      <w:r w:rsidRPr="00832380">
        <w:rPr>
          <w:i/>
        </w:rPr>
        <w:t>On Rhaly Operators</w:t>
      </w:r>
      <w:r w:rsidRPr="00832380">
        <w:rPr>
          <w:i/>
          <w:iCs/>
        </w:rPr>
        <w:t xml:space="preserve">, </w:t>
      </w:r>
      <w:r w:rsidR="00832380" w:rsidRPr="00802DE4">
        <w:t>Proceeding</w:t>
      </w:r>
      <w:r w:rsidR="005A551C">
        <w:t>s</w:t>
      </w:r>
      <w:r w:rsidR="00832380" w:rsidRPr="00802DE4">
        <w:t xml:space="preserve"> of the</w:t>
      </w:r>
      <w:r w:rsidR="00832380" w:rsidRPr="00802DE4">
        <w:rPr>
          <w:iCs/>
        </w:rPr>
        <w:t xml:space="preserve"> </w:t>
      </w:r>
      <w:r w:rsidRPr="00832380">
        <w:rPr>
          <w:iCs/>
        </w:rPr>
        <w:t>40</w:t>
      </w:r>
      <w:r w:rsidRPr="00832380">
        <w:rPr>
          <w:iCs/>
          <w:vertAlign w:val="superscript"/>
        </w:rPr>
        <w:t>th</w:t>
      </w:r>
      <w:r w:rsidRPr="00832380">
        <w:rPr>
          <w:iCs/>
        </w:rPr>
        <w:t xml:space="preserve"> South Eastern Analysis Meeting ( SEAM 40), University of Florida, College of Liberal Arts and Sciences, SUA, 15-17 martie, 2024</w:t>
      </w:r>
    </w:p>
    <w:p w14:paraId="4623E722" w14:textId="63F038A5" w:rsidR="00DE1B95" w:rsidRPr="00802DE4" w:rsidRDefault="00DE1B95" w:rsidP="00DE1B95">
      <w:pPr>
        <w:pStyle w:val="TableContents"/>
        <w:widowControl/>
        <w:numPr>
          <w:ilvl w:val="0"/>
          <w:numId w:val="17"/>
        </w:numPr>
        <w:suppressLineNumbers w:val="0"/>
        <w:suppressAutoHyphens w:val="0"/>
        <w:snapToGrid w:val="0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  <w:r w:rsidRPr="00802DE4">
        <w:rPr>
          <w:rFonts w:ascii="Times New Roman" w:hAnsi="Times New Roman" w:cs="Times New Roman"/>
          <w:bCs/>
          <w:color w:val="auto"/>
          <w:sz w:val="24"/>
        </w:rPr>
        <w:t>Prajitura</w:t>
      </w:r>
      <w:r w:rsidRPr="00802DE4">
        <w:rPr>
          <w:rFonts w:ascii="Times New Roman" w:hAnsi="Times New Roman" w:cs="Times New Roman"/>
          <w:b/>
          <w:bCs/>
          <w:color w:val="auto"/>
          <w:sz w:val="24"/>
        </w:rPr>
        <w:t xml:space="preserve">, </w:t>
      </w:r>
      <w:r w:rsidRPr="00802DE4">
        <w:rPr>
          <w:rFonts w:ascii="Times New Roman" w:hAnsi="Times New Roman" w:cs="Times New Roman"/>
          <w:bCs/>
          <w:color w:val="auto"/>
          <w:sz w:val="24"/>
        </w:rPr>
        <w:t xml:space="preserve">G.T., </w:t>
      </w:r>
      <w:r w:rsidRPr="00802DE4">
        <w:rPr>
          <w:rFonts w:ascii="Times New Roman" w:hAnsi="Times New Roman" w:cs="Times New Roman"/>
          <w:b/>
          <w:color w:val="auto"/>
          <w:sz w:val="24"/>
        </w:rPr>
        <w:t>Sebe</w:t>
      </w:r>
      <w:r w:rsidRPr="00802DE4">
        <w:rPr>
          <w:rFonts w:ascii="Times New Roman" w:hAnsi="Times New Roman" w:cs="Times New Roman"/>
          <w:color w:val="auto"/>
          <w:sz w:val="24"/>
        </w:rPr>
        <w:t xml:space="preserve">, </w:t>
      </w:r>
      <w:r w:rsidRPr="00802DE4">
        <w:rPr>
          <w:rFonts w:ascii="Times New Roman" w:hAnsi="Times New Roman" w:cs="Times New Roman"/>
          <w:b/>
          <w:color w:val="auto"/>
          <w:sz w:val="24"/>
        </w:rPr>
        <w:t xml:space="preserve">G.I., </w:t>
      </w:r>
      <w:r w:rsidRPr="00802DE4">
        <w:rPr>
          <w:rFonts w:ascii="Times New Roman" w:hAnsi="Times New Roman" w:cs="Times New Roman"/>
          <w:i/>
          <w:iCs/>
          <w:color w:val="auto"/>
          <w:sz w:val="24"/>
        </w:rPr>
        <w:t xml:space="preserve">Some questions in Linear Dynamics, </w:t>
      </w:r>
      <w:r w:rsidRPr="00802DE4">
        <w:rPr>
          <w:rFonts w:ascii="Times New Roman" w:hAnsi="Times New Roman" w:cs="Times New Roman"/>
          <w:sz w:val="24"/>
        </w:rPr>
        <w:t>Proceeding</w:t>
      </w:r>
      <w:r w:rsidR="005A551C">
        <w:rPr>
          <w:rFonts w:ascii="Times New Roman" w:hAnsi="Times New Roman" w:cs="Times New Roman"/>
          <w:sz w:val="24"/>
        </w:rPr>
        <w:t>s</w:t>
      </w:r>
      <w:r w:rsidRPr="00802DE4">
        <w:rPr>
          <w:rFonts w:ascii="Times New Roman" w:hAnsi="Times New Roman" w:cs="Times New Roman"/>
          <w:sz w:val="24"/>
        </w:rPr>
        <w:t xml:space="preserve"> of the</w:t>
      </w:r>
      <w:r w:rsidRPr="00802DE4">
        <w:rPr>
          <w:rFonts w:ascii="Times New Roman" w:hAnsi="Times New Roman" w:cs="Times New Roman"/>
          <w:iCs/>
          <w:color w:val="auto"/>
          <w:sz w:val="24"/>
        </w:rPr>
        <w:t xml:space="preserve"> 34</w:t>
      </w:r>
      <w:r w:rsidRPr="00802DE4">
        <w:rPr>
          <w:rFonts w:ascii="Times New Roman" w:hAnsi="Times New Roman" w:cs="Times New Roman"/>
          <w:iCs/>
          <w:color w:val="auto"/>
          <w:sz w:val="24"/>
          <w:vertAlign w:val="superscript"/>
        </w:rPr>
        <w:t>th</w:t>
      </w:r>
      <w:r w:rsidRPr="00802DE4">
        <w:rPr>
          <w:rFonts w:ascii="Times New Roman" w:hAnsi="Times New Roman" w:cs="Times New Roman"/>
          <w:iCs/>
          <w:color w:val="auto"/>
          <w:sz w:val="24"/>
        </w:rPr>
        <w:t xml:space="preserve"> International Workshop on Operator Theory and its Applications ( IWOTA 2023), University of Helsinki, Finland, 31 iulie-4 august, 2023.</w:t>
      </w:r>
    </w:p>
    <w:p w14:paraId="0976B900" w14:textId="77777777" w:rsidR="00DE1B95" w:rsidRPr="00802DE4" w:rsidRDefault="00DE1B95" w:rsidP="00DE1B95">
      <w:pPr>
        <w:numPr>
          <w:ilvl w:val="0"/>
          <w:numId w:val="17"/>
        </w:numPr>
        <w:jc w:val="both"/>
        <w:rPr>
          <w:b/>
          <w:bCs/>
        </w:rPr>
      </w:pPr>
      <w:r w:rsidRPr="00802DE4">
        <w:rPr>
          <w:bCs/>
        </w:rPr>
        <w:t>Prajitura</w:t>
      </w:r>
      <w:r w:rsidRPr="00802DE4">
        <w:rPr>
          <w:b/>
          <w:bCs/>
        </w:rPr>
        <w:t>,</w:t>
      </w:r>
      <w:r w:rsidRPr="00802DE4">
        <w:rPr>
          <w:bCs/>
        </w:rPr>
        <w:t xml:space="preserve"> G.T., </w:t>
      </w:r>
      <w:r w:rsidRPr="00802DE4">
        <w:rPr>
          <w:b/>
        </w:rPr>
        <w:t xml:space="preserve">Sebe, G.I., </w:t>
      </w:r>
      <w:r w:rsidRPr="00802DE4">
        <w:t xml:space="preserve">Teodorescu, D., Vernescu, A., </w:t>
      </w:r>
      <w:r w:rsidRPr="00802DE4">
        <w:rPr>
          <w:i/>
        </w:rPr>
        <w:t>Some Counterexamples in Real Analysis</w:t>
      </w:r>
      <w:r w:rsidRPr="00802DE4">
        <w:rPr>
          <w:i/>
          <w:iCs/>
        </w:rPr>
        <w:t xml:space="preserve">, </w:t>
      </w:r>
      <w:r w:rsidRPr="00802DE4">
        <w:rPr>
          <w:iCs/>
        </w:rPr>
        <w:t>Mathematical Association of America (MAA) Seaway Section, Waterloo University, Canada, 5-6 mai 2023</w:t>
      </w:r>
    </w:p>
    <w:p w14:paraId="2AA3E1CF" w14:textId="77777777" w:rsidR="00DE1B95" w:rsidRPr="00802DE4" w:rsidRDefault="00DE1B95" w:rsidP="00DE1B95">
      <w:pPr>
        <w:numPr>
          <w:ilvl w:val="0"/>
          <w:numId w:val="17"/>
        </w:numPr>
        <w:jc w:val="both"/>
        <w:rPr>
          <w:b/>
          <w:bCs/>
        </w:rPr>
      </w:pPr>
      <w:r w:rsidRPr="00802DE4">
        <w:rPr>
          <w:bCs/>
        </w:rPr>
        <w:t>Prajitura</w:t>
      </w:r>
      <w:r w:rsidRPr="00802DE4">
        <w:rPr>
          <w:b/>
          <w:bCs/>
        </w:rPr>
        <w:t>,</w:t>
      </w:r>
      <w:r w:rsidRPr="00802DE4">
        <w:rPr>
          <w:bCs/>
        </w:rPr>
        <w:t xml:space="preserve"> G.T., </w:t>
      </w:r>
      <w:r w:rsidRPr="00802DE4">
        <w:rPr>
          <w:b/>
        </w:rPr>
        <w:t xml:space="preserve">Sebe, G.I., </w:t>
      </w:r>
      <w:r w:rsidRPr="00802DE4">
        <w:rPr>
          <w:i/>
        </w:rPr>
        <w:t>A Covering Property</w:t>
      </w:r>
      <w:r w:rsidRPr="00802DE4">
        <w:rPr>
          <w:i/>
          <w:iCs/>
        </w:rPr>
        <w:t xml:space="preserve">, </w:t>
      </w:r>
      <w:r w:rsidRPr="00802DE4">
        <w:rPr>
          <w:iCs/>
        </w:rPr>
        <w:t>Mathematical Association of America (MAA) Seaway Section, Siena College Loudonville, NY, SUA, 28-29 octombrie 2022</w:t>
      </w:r>
    </w:p>
    <w:p w14:paraId="6C1A8D80" w14:textId="11BA0269" w:rsidR="00DE1B95" w:rsidRPr="00802DE4" w:rsidRDefault="00DE1B95" w:rsidP="00DE1B95">
      <w:pPr>
        <w:pStyle w:val="TableContents"/>
        <w:widowControl/>
        <w:numPr>
          <w:ilvl w:val="0"/>
          <w:numId w:val="17"/>
        </w:numPr>
        <w:suppressLineNumbers w:val="0"/>
        <w:suppressAutoHyphens w:val="0"/>
        <w:snapToGrid w:val="0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  <w:r w:rsidRPr="00802DE4">
        <w:rPr>
          <w:rFonts w:ascii="Times New Roman" w:hAnsi="Times New Roman" w:cs="Times New Roman"/>
          <w:bCs/>
          <w:color w:val="auto"/>
          <w:sz w:val="24"/>
        </w:rPr>
        <w:t>Prajitura</w:t>
      </w:r>
      <w:r w:rsidRPr="00802DE4">
        <w:rPr>
          <w:rFonts w:ascii="Times New Roman" w:hAnsi="Times New Roman" w:cs="Times New Roman"/>
          <w:b/>
          <w:bCs/>
          <w:color w:val="auto"/>
          <w:sz w:val="24"/>
        </w:rPr>
        <w:t xml:space="preserve">, </w:t>
      </w:r>
      <w:r w:rsidRPr="00802DE4">
        <w:rPr>
          <w:rFonts w:ascii="Times New Roman" w:hAnsi="Times New Roman" w:cs="Times New Roman"/>
          <w:bCs/>
          <w:color w:val="auto"/>
          <w:sz w:val="24"/>
        </w:rPr>
        <w:t xml:space="preserve">G.T., </w:t>
      </w:r>
      <w:r w:rsidRPr="00802DE4">
        <w:rPr>
          <w:rFonts w:ascii="Times New Roman" w:hAnsi="Times New Roman" w:cs="Times New Roman"/>
          <w:b/>
          <w:color w:val="auto"/>
          <w:sz w:val="24"/>
        </w:rPr>
        <w:t>Sebe</w:t>
      </w:r>
      <w:r w:rsidRPr="00802DE4">
        <w:rPr>
          <w:rFonts w:ascii="Times New Roman" w:hAnsi="Times New Roman" w:cs="Times New Roman"/>
          <w:color w:val="auto"/>
          <w:sz w:val="24"/>
        </w:rPr>
        <w:t xml:space="preserve">, </w:t>
      </w:r>
      <w:r w:rsidRPr="00802DE4">
        <w:rPr>
          <w:rFonts w:ascii="Times New Roman" w:hAnsi="Times New Roman" w:cs="Times New Roman"/>
          <w:b/>
          <w:color w:val="auto"/>
          <w:sz w:val="24"/>
        </w:rPr>
        <w:t xml:space="preserve">G.I., </w:t>
      </w:r>
      <w:r w:rsidRPr="00802DE4">
        <w:rPr>
          <w:rFonts w:ascii="Times New Roman" w:hAnsi="Times New Roman" w:cs="Times New Roman"/>
          <w:i/>
          <w:iCs/>
          <w:color w:val="auto"/>
          <w:sz w:val="24"/>
        </w:rPr>
        <w:t xml:space="preserve">Some Open Problems in Linear Dynamics, </w:t>
      </w:r>
      <w:r w:rsidR="00832380" w:rsidRPr="00802DE4">
        <w:rPr>
          <w:rFonts w:ascii="Times New Roman" w:hAnsi="Times New Roman" w:cs="Times New Roman"/>
          <w:sz w:val="24"/>
        </w:rPr>
        <w:t>Proceeding</w:t>
      </w:r>
      <w:r w:rsidR="005A551C">
        <w:rPr>
          <w:rFonts w:ascii="Times New Roman" w:hAnsi="Times New Roman" w:cs="Times New Roman"/>
          <w:sz w:val="24"/>
        </w:rPr>
        <w:t>s</w:t>
      </w:r>
      <w:r w:rsidR="00832380" w:rsidRPr="00802DE4">
        <w:rPr>
          <w:rFonts w:ascii="Times New Roman" w:hAnsi="Times New Roman" w:cs="Times New Roman"/>
          <w:sz w:val="24"/>
        </w:rPr>
        <w:t xml:space="preserve"> of the</w:t>
      </w:r>
      <w:r w:rsidR="00832380" w:rsidRPr="00802DE4">
        <w:rPr>
          <w:rFonts w:ascii="Times New Roman" w:hAnsi="Times New Roman" w:cs="Times New Roman"/>
          <w:iCs/>
          <w:color w:val="auto"/>
          <w:sz w:val="24"/>
        </w:rPr>
        <w:t xml:space="preserve"> </w:t>
      </w:r>
      <w:r w:rsidRPr="00802DE4">
        <w:rPr>
          <w:rFonts w:ascii="Times New Roman" w:hAnsi="Times New Roman" w:cs="Times New Roman"/>
          <w:iCs/>
          <w:color w:val="auto"/>
          <w:sz w:val="24"/>
        </w:rPr>
        <w:t>5</w:t>
      </w:r>
      <w:r w:rsidRPr="00802DE4">
        <w:rPr>
          <w:rFonts w:ascii="Times New Roman" w:hAnsi="Times New Roman" w:cs="Times New Roman"/>
          <w:iCs/>
          <w:color w:val="auto"/>
          <w:sz w:val="24"/>
          <w:vertAlign w:val="superscript"/>
        </w:rPr>
        <w:t>th</w:t>
      </w:r>
      <w:r w:rsidRPr="00802DE4">
        <w:rPr>
          <w:rFonts w:ascii="Times New Roman" w:hAnsi="Times New Roman" w:cs="Times New Roman"/>
          <w:iCs/>
          <w:color w:val="auto"/>
          <w:sz w:val="24"/>
        </w:rPr>
        <w:t xml:space="preserve"> Northeast Analysis Network (NAN), University at Albany, State University of New York, Albany, NY, SUA, 16-17 septembrie 2022</w:t>
      </w:r>
    </w:p>
    <w:p w14:paraId="51B35665" w14:textId="27FB4246" w:rsidR="00DE1B95" w:rsidRPr="00802DE4" w:rsidRDefault="00DE1B95" w:rsidP="00DE1B95">
      <w:pPr>
        <w:pStyle w:val="TableContents"/>
        <w:widowControl/>
        <w:numPr>
          <w:ilvl w:val="0"/>
          <w:numId w:val="17"/>
        </w:numPr>
        <w:suppressLineNumbers w:val="0"/>
        <w:suppressAutoHyphens w:val="0"/>
        <w:snapToGrid w:val="0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  <w:r w:rsidRPr="00802DE4">
        <w:rPr>
          <w:rFonts w:ascii="Times New Roman" w:hAnsi="Times New Roman" w:cs="Times New Roman"/>
          <w:bCs/>
          <w:color w:val="auto"/>
          <w:sz w:val="24"/>
        </w:rPr>
        <w:lastRenderedPageBreak/>
        <w:t>Prajitura</w:t>
      </w:r>
      <w:r w:rsidRPr="00802DE4">
        <w:rPr>
          <w:rFonts w:ascii="Times New Roman" w:hAnsi="Times New Roman" w:cs="Times New Roman"/>
          <w:b/>
          <w:bCs/>
          <w:color w:val="auto"/>
          <w:sz w:val="24"/>
        </w:rPr>
        <w:t>,</w:t>
      </w:r>
      <w:r w:rsidRPr="00802DE4">
        <w:rPr>
          <w:rFonts w:ascii="Times New Roman" w:hAnsi="Times New Roman" w:cs="Times New Roman"/>
          <w:bCs/>
          <w:color w:val="auto"/>
          <w:sz w:val="24"/>
        </w:rPr>
        <w:t xml:space="preserve"> G.T., </w:t>
      </w:r>
      <w:r w:rsidRPr="00802DE4">
        <w:rPr>
          <w:rFonts w:ascii="Times New Roman" w:hAnsi="Times New Roman" w:cs="Times New Roman"/>
          <w:b/>
          <w:color w:val="auto"/>
          <w:sz w:val="24"/>
        </w:rPr>
        <w:t>Sebe, G.I.,</w:t>
      </w:r>
      <w:r w:rsidRPr="00802DE4">
        <w:rPr>
          <w:rFonts w:ascii="Times New Roman" w:hAnsi="Times New Roman" w:cs="Times New Roman"/>
          <w:color w:val="auto"/>
          <w:sz w:val="24"/>
        </w:rPr>
        <w:t xml:space="preserve"> Udriște, C., </w:t>
      </w:r>
      <w:r w:rsidRPr="00802DE4">
        <w:rPr>
          <w:rFonts w:ascii="Times New Roman" w:hAnsi="Times New Roman" w:cs="Times New Roman"/>
          <w:i/>
          <w:iCs/>
          <w:color w:val="auto"/>
          <w:sz w:val="24"/>
        </w:rPr>
        <w:t xml:space="preserve">Linear Dynamics: where do we go from here, </w:t>
      </w:r>
      <w:r w:rsidRPr="00802DE4">
        <w:rPr>
          <w:rFonts w:ascii="Times New Roman" w:hAnsi="Times New Roman" w:cs="Times New Roman"/>
          <w:sz w:val="24"/>
        </w:rPr>
        <w:t>Proceeding</w:t>
      </w:r>
      <w:r w:rsidR="005A551C">
        <w:rPr>
          <w:rFonts w:ascii="Times New Roman" w:hAnsi="Times New Roman" w:cs="Times New Roman"/>
          <w:sz w:val="24"/>
        </w:rPr>
        <w:t>s</w:t>
      </w:r>
      <w:r w:rsidRPr="00802DE4">
        <w:rPr>
          <w:rFonts w:ascii="Times New Roman" w:hAnsi="Times New Roman" w:cs="Times New Roman"/>
          <w:sz w:val="24"/>
        </w:rPr>
        <w:t xml:space="preserve"> of the</w:t>
      </w:r>
      <w:r w:rsidRPr="00802DE4">
        <w:rPr>
          <w:rFonts w:ascii="Times New Roman" w:hAnsi="Times New Roman" w:cs="Times New Roman"/>
          <w:iCs/>
          <w:color w:val="auto"/>
          <w:sz w:val="24"/>
        </w:rPr>
        <w:t xml:space="preserve"> 28</w:t>
      </w:r>
      <w:r w:rsidRPr="00802DE4">
        <w:rPr>
          <w:rFonts w:ascii="Times New Roman" w:hAnsi="Times New Roman" w:cs="Times New Roman"/>
          <w:iCs/>
          <w:color w:val="auto"/>
          <w:sz w:val="24"/>
          <w:vertAlign w:val="superscript"/>
        </w:rPr>
        <w:t>th</w:t>
      </w:r>
      <w:r w:rsidRPr="00802DE4">
        <w:rPr>
          <w:rFonts w:ascii="Times New Roman" w:hAnsi="Times New Roman" w:cs="Times New Roman"/>
          <w:iCs/>
          <w:color w:val="auto"/>
          <w:sz w:val="24"/>
        </w:rPr>
        <w:t xml:space="preserve"> International Conference in Operator Theory, West University of Timișoara, Timișoara, Romania, 27 iunie - 1 iulie 2022</w:t>
      </w:r>
    </w:p>
    <w:p w14:paraId="51035075" w14:textId="6D2A3FE2" w:rsidR="00DE1B95" w:rsidRPr="00A53C6F" w:rsidRDefault="00DE1B95" w:rsidP="00DE1B95">
      <w:pPr>
        <w:numPr>
          <w:ilvl w:val="0"/>
          <w:numId w:val="17"/>
        </w:numPr>
        <w:overflowPunct w:val="0"/>
        <w:autoSpaceDE w:val="0"/>
        <w:autoSpaceDN w:val="0"/>
        <w:adjustRightInd w:val="0"/>
        <w:jc w:val="both"/>
        <w:textAlignment w:val="baseline"/>
        <w:rPr>
          <w:i/>
          <w:iCs/>
        </w:rPr>
      </w:pPr>
      <w:r w:rsidRPr="00A53C6F">
        <w:rPr>
          <w:bCs/>
        </w:rPr>
        <w:t xml:space="preserve">Prajitură, G.T., </w:t>
      </w:r>
      <w:r w:rsidRPr="00A53C6F">
        <w:rPr>
          <w:b/>
        </w:rPr>
        <w:t>Sebe</w:t>
      </w:r>
      <w:r w:rsidRPr="00802DE4">
        <w:t xml:space="preserve">, </w:t>
      </w:r>
      <w:r w:rsidRPr="00A53C6F">
        <w:rPr>
          <w:b/>
        </w:rPr>
        <w:t xml:space="preserve">G.I., </w:t>
      </w:r>
      <w:r w:rsidRPr="00A53C6F">
        <w:rPr>
          <w:i/>
          <w:iCs/>
        </w:rPr>
        <w:t xml:space="preserve">Chaos versus Entropy in Linear Dynamics, </w:t>
      </w:r>
      <w:r>
        <w:t>Proceeding</w:t>
      </w:r>
      <w:r w:rsidR="005A551C">
        <w:t>s</w:t>
      </w:r>
      <w:r>
        <w:t xml:space="preserve"> of the</w:t>
      </w:r>
      <w:r w:rsidRPr="00A53C6F">
        <w:rPr>
          <w:iCs/>
        </w:rPr>
        <w:t xml:space="preserve"> Fourth Romanian Itinerant Seminar on Mathematical Analysis and its Applications, Transilvania University of Bra</w:t>
      </w:r>
      <w:r w:rsidRPr="00802DE4">
        <w:t>ş</w:t>
      </w:r>
      <w:r w:rsidRPr="00A53C6F">
        <w:rPr>
          <w:iCs/>
        </w:rPr>
        <w:t>ov, 19-21 mai, 2022</w:t>
      </w:r>
    </w:p>
    <w:p w14:paraId="07328348" w14:textId="77777777" w:rsidR="00DE1B95" w:rsidRDefault="00DE1B95" w:rsidP="00DE1B95">
      <w:pPr>
        <w:spacing w:line="320" w:lineRule="atLeast"/>
        <w:ind w:firstLine="741"/>
        <w:jc w:val="both"/>
        <w:rPr>
          <w:lang w:val="ro-RO"/>
        </w:rPr>
      </w:pPr>
      <w:r>
        <w:rPr>
          <w:lang w:val="ro-RO"/>
        </w:rPr>
        <w:t xml:space="preserve"> </w:t>
      </w:r>
    </w:p>
    <w:p w14:paraId="2B9240AC" w14:textId="37E30E6A" w:rsidR="001F154E" w:rsidRPr="00DE1B95" w:rsidRDefault="001F154E" w:rsidP="001F154E">
      <w:pPr>
        <w:spacing w:line="320" w:lineRule="atLeast"/>
        <w:ind w:firstLine="741"/>
        <w:jc w:val="both"/>
        <w:rPr>
          <w:bCs/>
          <w:lang w:val="ro-RO"/>
        </w:rPr>
      </w:pPr>
    </w:p>
    <w:p w14:paraId="1FE20543" w14:textId="77777777" w:rsidR="001F154E" w:rsidRPr="001F154E" w:rsidRDefault="001F154E" w:rsidP="001F154E">
      <w:pPr>
        <w:spacing w:line="320" w:lineRule="atLeast"/>
        <w:ind w:firstLine="741"/>
        <w:jc w:val="both"/>
        <w:rPr>
          <w:bCs/>
          <w:i/>
          <w:lang w:val="ro-RO"/>
        </w:rPr>
      </w:pPr>
    </w:p>
    <w:p w14:paraId="0B32C206" w14:textId="77777777" w:rsidR="008F1503" w:rsidRDefault="008F1503" w:rsidP="008F1503">
      <w:pPr>
        <w:pStyle w:val="ListParagraph"/>
        <w:numPr>
          <w:ilvl w:val="0"/>
          <w:numId w:val="11"/>
        </w:numPr>
        <w:spacing w:line="320" w:lineRule="atLeast"/>
        <w:jc w:val="both"/>
        <w:rPr>
          <w:b/>
          <w:iCs/>
          <w:lang w:val="ro-RO"/>
        </w:rPr>
      </w:pPr>
      <w:r>
        <w:rPr>
          <w:b/>
          <w:iCs/>
          <w:lang w:val="ro-RO"/>
        </w:rPr>
        <w:t>Brevete obţinute în întreaga activitate-</w:t>
      </w:r>
    </w:p>
    <w:p w14:paraId="354A1681" w14:textId="77777777" w:rsidR="008F1503" w:rsidRDefault="008F1503" w:rsidP="008F1503">
      <w:pPr>
        <w:spacing w:line="320" w:lineRule="atLeast"/>
        <w:ind w:firstLine="741"/>
        <w:jc w:val="both"/>
        <w:rPr>
          <w:bCs/>
          <w:iCs/>
          <w:lang w:val="ro-RO"/>
        </w:rPr>
      </w:pPr>
      <w:r>
        <w:rPr>
          <w:bCs/>
          <w:iCs/>
          <w:lang w:val="ro-RO"/>
        </w:rPr>
        <w:t xml:space="preserve">        </w:t>
      </w:r>
    </w:p>
    <w:p w14:paraId="2E4CBBA0" w14:textId="77777777" w:rsidR="008F1503" w:rsidRDefault="008F1503" w:rsidP="008F1503">
      <w:pPr>
        <w:spacing w:line="320" w:lineRule="atLeast"/>
        <w:ind w:firstLine="741"/>
        <w:jc w:val="both"/>
        <w:rPr>
          <w:iCs/>
          <w:lang w:val="ro-RO"/>
        </w:rPr>
      </w:pPr>
    </w:p>
    <w:p w14:paraId="50C6C5A9" w14:textId="77777777" w:rsidR="008F1503" w:rsidRDefault="008F1503" w:rsidP="008F1503">
      <w:pPr>
        <w:spacing w:line="320" w:lineRule="atLeast"/>
        <w:ind w:firstLine="741"/>
        <w:jc w:val="both"/>
        <w:rPr>
          <w:iCs/>
          <w:lang w:val="ro-RO"/>
        </w:rPr>
      </w:pPr>
    </w:p>
    <w:p w14:paraId="7499CABE" w14:textId="77777777" w:rsidR="008F1503" w:rsidRDefault="008F1503" w:rsidP="008F1503">
      <w:pPr>
        <w:spacing w:line="320" w:lineRule="atLeast"/>
        <w:jc w:val="both"/>
        <w:rPr>
          <w:b/>
          <w:iCs/>
          <w:lang w:val="ro-RO"/>
        </w:rPr>
      </w:pPr>
      <w:r>
        <w:rPr>
          <w:b/>
          <w:iCs/>
          <w:lang w:val="ro-RO"/>
        </w:rPr>
        <w:tab/>
      </w:r>
      <w:r>
        <w:rPr>
          <w:b/>
          <w:iCs/>
          <w:lang w:val="ro-RO"/>
        </w:rPr>
        <w:tab/>
        <w:t>Data:</w:t>
      </w:r>
      <w:r>
        <w:rPr>
          <w:b/>
          <w:iCs/>
          <w:lang w:val="ro-RO"/>
        </w:rPr>
        <w:tab/>
      </w:r>
      <w:r>
        <w:rPr>
          <w:b/>
          <w:iCs/>
          <w:lang w:val="ro-RO"/>
        </w:rPr>
        <w:tab/>
      </w:r>
      <w:r>
        <w:rPr>
          <w:b/>
          <w:iCs/>
          <w:lang w:val="ro-RO"/>
        </w:rPr>
        <w:tab/>
      </w:r>
      <w:r>
        <w:rPr>
          <w:b/>
          <w:iCs/>
          <w:lang w:val="ro-RO"/>
        </w:rPr>
        <w:tab/>
      </w:r>
      <w:r>
        <w:rPr>
          <w:b/>
          <w:iCs/>
          <w:lang w:val="ro-RO"/>
        </w:rPr>
        <w:tab/>
      </w:r>
      <w:r>
        <w:rPr>
          <w:b/>
          <w:iCs/>
          <w:lang w:val="ro-RO"/>
        </w:rPr>
        <w:tab/>
      </w:r>
      <w:r>
        <w:rPr>
          <w:b/>
          <w:iCs/>
          <w:lang w:val="ro-RO"/>
        </w:rPr>
        <w:tab/>
        <w:t>Semnătura:</w:t>
      </w:r>
    </w:p>
    <w:p w14:paraId="75210961" w14:textId="4F00F96D" w:rsidR="00121D87" w:rsidRDefault="008F1503" w:rsidP="008F1503">
      <w:pPr>
        <w:spacing w:line="320" w:lineRule="atLeast"/>
        <w:ind w:firstLine="741"/>
        <w:jc w:val="both"/>
        <w:rPr>
          <w:iCs/>
          <w:lang w:val="ro-RO"/>
        </w:rPr>
      </w:pPr>
      <w:r>
        <w:rPr>
          <w:iCs/>
          <w:lang w:val="ro-RO"/>
        </w:rPr>
        <w:t xml:space="preserve">        25.08.2026</w:t>
      </w:r>
    </w:p>
    <w:sectPr w:rsidR="00121D87" w:rsidSect="00E36DA8">
      <w:headerReference w:type="default" r:id="rId20"/>
      <w:pgSz w:w="11907" w:h="16840" w:code="9"/>
      <w:pgMar w:top="1134" w:right="964" w:bottom="172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52154" w14:textId="77777777" w:rsidR="00150F39" w:rsidRDefault="00150F39">
      <w:r>
        <w:separator/>
      </w:r>
    </w:p>
  </w:endnote>
  <w:endnote w:type="continuationSeparator" w:id="0">
    <w:p w14:paraId="795BB6B5" w14:textId="77777777" w:rsidR="00150F39" w:rsidRDefault="00150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81BE1" w14:textId="77777777" w:rsidR="00150F39" w:rsidRDefault="00150F39">
      <w:r>
        <w:separator/>
      </w:r>
    </w:p>
  </w:footnote>
  <w:footnote w:type="continuationSeparator" w:id="0">
    <w:p w14:paraId="34181DA1" w14:textId="77777777" w:rsidR="00150F39" w:rsidRDefault="00150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6E9E0" w14:textId="217577DE" w:rsidR="00734AD4" w:rsidRPr="00263052" w:rsidRDefault="00734AD4" w:rsidP="00263052">
    <w:pPr>
      <w:pStyle w:val="Header"/>
      <w:pBdr>
        <w:bottom w:val="single" w:sz="4" w:space="1" w:color="9CC2E5"/>
      </w:pBdr>
      <w:ind w:right="-1" w:firstLine="720"/>
      <w:rPr>
        <w:bCs/>
        <w:i/>
        <w:iCs/>
        <w:color w:val="002060"/>
      </w:rPr>
    </w:pPr>
    <w:r w:rsidRPr="00EA1325">
      <w:rPr>
        <w:bCs/>
        <w:color w:val="002060"/>
      </w:rPr>
      <w:t xml:space="preserve">Anexa </w:t>
    </w:r>
    <w:r w:rsidR="00EA1325">
      <w:rPr>
        <w:bCs/>
        <w:color w:val="002060"/>
      </w:rPr>
      <w:t>3</w:t>
    </w:r>
    <w:r w:rsidRPr="00EA1325">
      <w:rPr>
        <w:bCs/>
        <w:color w:val="002060"/>
      </w:rPr>
      <w:t xml:space="preserve"> </w:t>
    </w:r>
    <w:r w:rsidR="00263052" w:rsidRPr="00EA1325">
      <w:rPr>
        <w:bCs/>
        <w:color w:val="002060"/>
      </w:rPr>
      <w:t>FV</w:t>
    </w:r>
    <w:r w:rsidRPr="00263052">
      <w:rPr>
        <w:bCs/>
        <w:i/>
        <w:iCs/>
        <w:color w:val="002060"/>
      </w:rPr>
      <w:t xml:space="preserve">     </w:t>
    </w:r>
  </w:p>
  <w:p w14:paraId="1D46E9E1" w14:textId="77777777" w:rsidR="00FC43E6" w:rsidRPr="00E95D12" w:rsidRDefault="00FC43E6">
    <w:pPr>
      <w:pStyle w:val="Head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31A0"/>
    <w:multiLevelType w:val="hybridMultilevel"/>
    <w:tmpl w:val="34CA8E46"/>
    <w:lvl w:ilvl="0" w:tplc="4A261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C8297A6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865A94"/>
    <w:multiLevelType w:val="hybridMultilevel"/>
    <w:tmpl w:val="11B24ABC"/>
    <w:lvl w:ilvl="0" w:tplc="653AF334">
      <w:start w:val="1"/>
      <w:numFmt w:val="decimal"/>
      <w:lvlText w:val="%1."/>
      <w:lvlJc w:val="left"/>
      <w:pPr>
        <w:ind w:left="1235" w:hanging="384"/>
      </w:pPr>
      <w:rPr>
        <w:rFonts w:ascii="Times New Roman" w:eastAsia="Times New Roman" w:hAnsi="Times New Roman" w:cs="Times New Roman"/>
        <w:b w:val="0"/>
        <w:bCs/>
        <w:i w:val="0"/>
        <w:iCs w:val="0"/>
        <w:sz w:val="24"/>
        <w:szCs w:val="24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17E0D"/>
    <w:multiLevelType w:val="hybridMultilevel"/>
    <w:tmpl w:val="3A60D4F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C1A5B"/>
    <w:multiLevelType w:val="hybridMultilevel"/>
    <w:tmpl w:val="923C8B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CC4813"/>
    <w:multiLevelType w:val="hybridMultilevel"/>
    <w:tmpl w:val="D508210E"/>
    <w:lvl w:ilvl="0" w:tplc="5A40D62A">
      <w:start w:val="3"/>
      <w:numFmt w:val="decimal"/>
      <w:lvlText w:val="%1."/>
      <w:lvlJc w:val="left"/>
      <w:pPr>
        <w:ind w:left="720" w:hanging="360"/>
      </w:pPr>
      <w:rPr>
        <w:b w:val="0"/>
        <w:bCs/>
        <w:i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B6368"/>
    <w:multiLevelType w:val="hybridMultilevel"/>
    <w:tmpl w:val="98520618"/>
    <w:lvl w:ilvl="0" w:tplc="881C15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00F75"/>
    <w:multiLevelType w:val="hybridMultilevel"/>
    <w:tmpl w:val="64D2546E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60055"/>
    <w:multiLevelType w:val="hybridMultilevel"/>
    <w:tmpl w:val="F93282E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8" w15:restartNumberingAfterBreak="0">
    <w:nsid w:val="45063515"/>
    <w:multiLevelType w:val="hybridMultilevel"/>
    <w:tmpl w:val="EB966CAC"/>
    <w:lvl w:ilvl="0" w:tplc="0409000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90F40"/>
    <w:multiLevelType w:val="hybridMultilevel"/>
    <w:tmpl w:val="CA1082C2"/>
    <w:lvl w:ilvl="0" w:tplc="0AE8C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E918FE"/>
    <w:multiLevelType w:val="hybridMultilevel"/>
    <w:tmpl w:val="53AC4834"/>
    <w:lvl w:ilvl="0" w:tplc="6A1C13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D9C2117"/>
    <w:multiLevelType w:val="hybridMultilevel"/>
    <w:tmpl w:val="60C03B96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4D1321"/>
    <w:multiLevelType w:val="hybridMultilevel"/>
    <w:tmpl w:val="284668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B761AD"/>
    <w:multiLevelType w:val="hybridMultilevel"/>
    <w:tmpl w:val="8710D892"/>
    <w:lvl w:ilvl="0" w:tplc="DFD0E114">
      <w:start w:val="2"/>
      <w:numFmt w:val="decimal"/>
      <w:lvlText w:val="%1."/>
      <w:lvlJc w:val="left"/>
      <w:pPr>
        <w:ind w:left="720" w:hanging="360"/>
      </w:pPr>
      <w:rPr>
        <w:b w:val="0"/>
        <w:bCs/>
        <w:i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6524570">
    <w:abstractNumId w:val="9"/>
  </w:num>
  <w:num w:numId="2" w16cid:durableId="1853378331">
    <w:abstractNumId w:val="11"/>
  </w:num>
  <w:num w:numId="3" w16cid:durableId="1009524129">
    <w:abstractNumId w:val="6"/>
  </w:num>
  <w:num w:numId="4" w16cid:durableId="330258074">
    <w:abstractNumId w:val="2"/>
  </w:num>
  <w:num w:numId="5" w16cid:durableId="1430000627">
    <w:abstractNumId w:val="12"/>
  </w:num>
  <w:num w:numId="6" w16cid:durableId="983199916">
    <w:abstractNumId w:val="3"/>
  </w:num>
  <w:num w:numId="7" w16cid:durableId="465515619">
    <w:abstractNumId w:val="7"/>
  </w:num>
  <w:num w:numId="8" w16cid:durableId="74384176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23358562">
    <w:abstractNumId w:val="8"/>
  </w:num>
  <w:num w:numId="10" w16cid:durableId="1613439411">
    <w:abstractNumId w:val="0"/>
  </w:num>
  <w:num w:numId="11" w16cid:durableId="19393609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993707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493823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812731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2890449">
    <w:abstractNumId w:val="4"/>
  </w:num>
  <w:num w:numId="16" w16cid:durableId="567498391">
    <w:abstractNumId w:val="5"/>
  </w:num>
  <w:num w:numId="17" w16cid:durableId="720134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BE"/>
    <w:rsid w:val="000201C8"/>
    <w:rsid w:val="000316B2"/>
    <w:rsid w:val="0004128B"/>
    <w:rsid w:val="00043222"/>
    <w:rsid w:val="00087B5B"/>
    <w:rsid w:val="00092453"/>
    <w:rsid w:val="000935FD"/>
    <w:rsid w:val="0009425E"/>
    <w:rsid w:val="000C140E"/>
    <w:rsid w:val="000D38EC"/>
    <w:rsid w:val="000D4902"/>
    <w:rsid w:val="000E79A4"/>
    <w:rsid w:val="00120A9C"/>
    <w:rsid w:val="00121D87"/>
    <w:rsid w:val="0014568E"/>
    <w:rsid w:val="00150F39"/>
    <w:rsid w:val="001526B3"/>
    <w:rsid w:val="0017789E"/>
    <w:rsid w:val="00183D7D"/>
    <w:rsid w:val="001942DC"/>
    <w:rsid w:val="001A54C1"/>
    <w:rsid w:val="001B042E"/>
    <w:rsid w:val="001B288F"/>
    <w:rsid w:val="001C5467"/>
    <w:rsid w:val="001E6D49"/>
    <w:rsid w:val="001F154E"/>
    <w:rsid w:val="001F63B2"/>
    <w:rsid w:val="002024E0"/>
    <w:rsid w:val="002030D5"/>
    <w:rsid w:val="0021264C"/>
    <w:rsid w:val="00225563"/>
    <w:rsid w:val="00232D3E"/>
    <w:rsid w:val="00263052"/>
    <w:rsid w:val="00263F36"/>
    <w:rsid w:val="00265079"/>
    <w:rsid w:val="00273853"/>
    <w:rsid w:val="002813E8"/>
    <w:rsid w:val="00294E2E"/>
    <w:rsid w:val="002B3BE7"/>
    <w:rsid w:val="002B5484"/>
    <w:rsid w:val="002E3092"/>
    <w:rsid w:val="00313D0F"/>
    <w:rsid w:val="003219E6"/>
    <w:rsid w:val="00322AD0"/>
    <w:rsid w:val="0032522F"/>
    <w:rsid w:val="00340C94"/>
    <w:rsid w:val="00340F38"/>
    <w:rsid w:val="00346D8C"/>
    <w:rsid w:val="003477B1"/>
    <w:rsid w:val="00373D68"/>
    <w:rsid w:val="00374C82"/>
    <w:rsid w:val="003B77B6"/>
    <w:rsid w:val="003C0C01"/>
    <w:rsid w:val="003D62F5"/>
    <w:rsid w:val="003D7843"/>
    <w:rsid w:val="003E27C3"/>
    <w:rsid w:val="00417152"/>
    <w:rsid w:val="004560CF"/>
    <w:rsid w:val="00462F17"/>
    <w:rsid w:val="004714F1"/>
    <w:rsid w:val="004852EF"/>
    <w:rsid w:val="00495942"/>
    <w:rsid w:val="004970A7"/>
    <w:rsid w:val="004A5FDF"/>
    <w:rsid w:val="004B4686"/>
    <w:rsid w:val="004F39EC"/>
    <w:rsid w:val="00501A6F"/>
    <w:rsid w:val="0051426A"/>
    <w:rsid w:val="005153E0"/>
    <w:rsid w:val="00541FA8"/>
    <w:rsid w:val="0056213A"/>
    <w:rsid w:val="00582BBC"/>
    <w:rsid w:val="00587AC4"/>
    <w:rsid w:val="005937C9"/>
    <w:rsid w:val="005A551C"/>
    <w:rsid w:val="005B655E"/>
    <w:rsid w:val="005D665C"/>
    <w:rsid w:val="00654419"/>
    <w:rsid w:val="00662AF5"/>
    <w:rsid w:val="00663A89"/>
    <w:rsid w:val="00670C58"/>
    <w:rsid w:val="00675C6A"/>
    <w:rsid w:val="006846E2"/>
    <w:rsid w:val="006964AB"/>
    <w:rsid w:val="006A374C"/>
    <w:rsid w:val="006D0455"/>
    <w:rsid w:val="006D2E81"/>
    <w:rsid w:val="006D46CD"/>
    <w:rsid w:val="006F11BB"/>
    <w:rsid w:val="00734AD4"/>
    <w:rsid w:val="007559DB"/>
    <w:rsid w:val="0078255F"/>
    <w:rsid w:val="007C15BC"/>
    <w:rsid w:val="007C4A0A"/>
    <w:rsid w:val="007E05BE"/>
    <w:rsid w:val="007F1E40"/>
    <w:rsid w:val="007F6950"/>
    <w:rsid w:val="00802312"/>
    <w:rsid w:val="00827297"/>
    <w:rsid w:val="008278AE"/>
    <w:rsid w:val="00831A9D"/>
    <w:rsid w:val="00832380"/>
    <w:rsid w:val="0083575A"/>
    <w:rsid w:val="00864F7D"/>
    <w:rsid w:val="00876026"/>
    <w:rsid w:val="00885D98"/>
    <w:rsid w:val="008927B4"/>
    <w:rsid w:val="008A64BA"/>
    <w:rsid w:val="008B0666"/>
    <w:rsid w:val="008B6678"/>
    <w:rsid w:val="008B788A"/>
    <w:rsid w:val="008C4106"/>
    <w:rsid w:val="008E1A11"/>
    <w:rsid w:val="008F1503"/>
    <w:rsid w:val="009222C6"/>
    <w:rsid w:val="00922511"/>
    <w:rsid w:val="00934BE1"/>
    <w:rsid w:val="00950C79"/>
    <w:rsid w:val="009534AE"/>
    <w:rsid w:val="00967297"/>
    <w:rsid w:val="0098083A"/>
    <w:rsid w:val="00982C19"/>
    <w:rsid w:val="009A22B3"/>
    <w:rsid w:val="009A2CA4"/>
    <w:rsid w:val="009B1BDE"/>
    <w:rsid w:val="009C163F"/>
    <w:rsid w:val="009D18EC"/>
    <w:rsid w:val="009D292A"/>
    <w:rsid w:val="009D5654"/>
    <w:rsid w:val="00A440A1"/>
    <w:rsid w:val="00A45BAB"/>
    <w:rsid w:val="00A71D60"/>
    <w:rsid w:val="00A85470"/>
    <w:rsid w:val="00AB3B40"/>
    <w:rsid w:val="00AD5B6F"/>
    <w:rsid w:val="00AE0402"/>
    <w:rsid w:val="00AF6FBB"/>
    <w:rsid w:val="00B1135A"/>
    <w:rsid w:val="00B121C0"/>
    <w:rsid w:val="00B13354"/>
    <w:rsid w:val="00B2128F"/>
    <w:rsid w:val="00B278E8"/>
    <w:rsid w:val="00B37817"/>
    <w:rsid w:val="00B664BD"/>
    <w:rsid w:val="00B715E2"/>
    <w:rsid w:val="00B7235C"/>
    <w:rsid w:val="00B751B5"/>
    <w:rsid w:val="00B831C2"/>
    <w:rsid w:val="00BD0B8D"/>
    <w:rsid w:val="00BF1C30"/>
    <w:rsid w:val="00C04037"/>
    <w:rsid w:val="00C06ADD"/>
    <w:rsid w:val="00C35C01"/>
    <w:rsid w:val="00C35E51"/>
    <w:rsid w:val="00C41764"/>
    <w:rsid w:val="00C66161"/>
    <w:rsid w:val="00C845F9"/>
    <w:rsid w:val="00CA59F9"/>
    <w:rsid w:val="00CE2E84"/>
    <w:rsid w:val="00CF2E33"/>
    <w:rsid w:val="00D0135A"/>
    <w:rsid w:val="00D04971"/>
    <w:rsid w:val="00D3432A"/>
    <w:rsid w:val="00D53724"/>
    <w:rsid w:val="00D55132"/>
    <w:rsid w:val="00D60FBE"/>
    <w:rsid w:val="00D650C0"/>
    <w:rsid w:val="00D77994"/>
    <w:rsid w:val="00DA52CA"/>
    <w:rsid w:val="00DB0275"/>
    <w:rsid w:val="00DB1880"/>
    <w:rsid w:val="00DB3BDD"/>
    <w:rsid w:val="00DD2248"/>
    <w:rsid w:val="00DE009E"/>
    <w:rsid w:val="00DE1B95"/>
    <w:rsid w:val="00DE21EC"/>
    <w:rsid w:val="00E10805"/>
    <w:rsid w:val="00E147BB"/>
    <w:rsid w:val="00E22801"/>
    <w:rsid w:val="00E2342E"/>
    <w:rsid w:val="00E36DA8"/>
    <w:rsid w:val="00E3B686"/>
    <w:rsid w:val="00E43110"/>
    <w:rsid w:val="00E43503"/>
    <w:rsid w:val="00E47AFC"/>
    <w:rsid w:val="00E47D89"/>
    <w:rsid w:val="00E47DDB"/>
    <w:rsid w:val="00E625D1"/>
    <w:rsid w:val="00E67B5A"/>
    <w:rsid w:val="00E70CAF"/>
    <w:rsid w:val="00E752BE"/>
    <w:rsid w:val="00E77DBE"/>
    <w:rsid w:val="00E840DF"/>
    <w:rsid w:val="00E95D12"/>
    <w:rsid w:val="00EA1325"/>
    <w:rsid w:val="00EB5B35"/>
    <w:rsid w:val="00ED11C6"/>
    <w:rsid w:val="00EE5CC2"/>
    <w:rsid w:val="00F12459"/>
    <w:rsid w:val="00F22996"/>
    <w:rsid w:val="00F310D0"/>
    <w:rsid w:val="00F36B36"/>
    <w:rsid w:val="00F501D1"/>
    <w:rsid w:val="00F50EED"/>
    <w:rsid w:val="00F65403"/>
    <w:rsid w:val="00F73E06"/>
    <w:rsid w:val="00F74087"/>
    <w:rsid w:val="00F7601B"/>
    <w:rsid w:val="00F806E7"/>
    <w:rsid w:val="00F84082"/>
    <w:rsid w:val="00FB7EEB"/>
    <w:rsid w:val="00FC085E"/>
    <w:rsid w:val="00FC3768"/>
    <w:rsid w:val="00FC43E6"/>
    <w:rsid w:val="00FD3EFC"/>
    <w:rsid w:val="00FD4EDB"/>
    <w:rsid w:val="00FF5942"/>
    <w:rsid w:val="4F1D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46E9B8"/>
  <w15:docId w15:val="{281A70CE-419C-43A9-A3CB-9DB50813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15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3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D38EC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Normal"/>
    <w:rsid w:val="00495942"/>
    <w:pPr>
      <w:ind w:left="720"/>
      <w:contextualSpacing/>
    </w:pPr>
    <w:rPr>
      <w:rFonts w:ascii="Calibri" w:hAnsi="Calibr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313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C43E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E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43E6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FF594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F5942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F654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0C0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4350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F1E40"/>
    <w:rPr>
      <w:color w:val="605E5C"/>
      <w:shd w:val="clear" w:color="auto" w:fill="E1DFDD"/>
    </w:rPr>
  </w:style>
  <w:style w:type="paragraph" w:customStyle="1" w:styleId="TableContents">
    <w:name w:val="Table Contents"/>
    <w:basedOn w:val="Normal"/>
    <w:qFormat/>
    <w:rsid w:val="00DE1B95"/>
    <w:pPr>
      <w:widowControl w:val="0"/>
      <w:suppressLineNumbers/>
      <w:suppressAutoHyphens/>
    </w:pPr>
    <w:rPr>
      <w:rFonts w:ascii="Arial" w:eastAsia="SimSun" w:hAnsi="Arial" w:cs="Mangal"/>
      <w:color w:val="3F3A38"/>
      <w:spacing w:val="-6"/>
      <w:kern w:val="1"/>
      <w:sz w:val="16"/>
      <w:lang w:val="ro-RO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6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oi.org/10.1007/s10998-021-00444-4" TargetMode="External"/><Relationship Id="rId18" Type="http://schemas.openxmlformats.org/officeDocument/2006/relationships/hyperlink" Target="https://doi.org/10.1016/j.jnt.2018.05.018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doi.org/10.1007/s40065-025-00582-4" TargetMode="External"/><Relationship Id="rId17" Type="http://schemas.openxmlformats.org/officeDocument/2006/relationships/hyperlink" Target="https://doi.org/10.1007/s10474-019-00974-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m/url?q=https%3A%2F%2Fwww.impan.pl%2Fen%2Fpublishing-house%2Fjournals-and-series%2Facta-arithmetica%2Fonline%2F113446%2Fa-gauss-kuz-min-levy-theorem-for-renyi-type-continued-fractions&amp;sa=D&amp;sntz=1&amp;usg=AFQjCNHt6fhpnZO2g-zN3PiXnMVZ0F1cyQ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i.org/10.4171/pm/2154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google.com/url?q=https%3A%2F%2Fdoi.org%2F10.3390%2Fmath9030255&amp;sa=D&amp;sntz=1&amp;usg=AFQjCNGzWytCO2wtBHIS3p8HYyA_sGOvrQ" TargetMode="External"/><Relationship Id="rId10" Type="http://schemas.openxmlformats.org/officeDocument/2006/relationships/hyperlink" Target="https://www.aimsciences.org/article/doi/10.3934/dcdss.2026116" TargetMode="External"/><Relationship Id="rId19" Type="http://schemas.openxmlformats.org/officeDocument/2006/relationships/hyperlink" Target="https://doi.org/10.1016/j.jnt.2018.05.01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oi.org/10.55730/1300-0098.331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4E55CC3E3E847AD665E871CCDAB11" ma:contentTypeVersion="0" ma:contentTypeDescription="Create a new document." ma:contentTypeScope="" ma:versionID="ac072947be5dafc27e12e3db4b9364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139520-AABD-4EA1-A503-F060431619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E357B8-37C6-42DE-BE0A-59F7939E6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A6BC23-3798-47DB-9881-2A87ED0C25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959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ACTIVITĂŢI ARACIS 2006 – 2009</vt:lpstr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ACTIVITĂŢI ARACIS 2006 – 2009</dc:title>
  <dc:creator>user</dc:creator>
  <cp:lastModifiedBy>Ileana Sebe</cp:lastModifiedBy>
  <cp:revision>40</cp:revision>
  <cp:lastPrinted>2012-02-09T06:57:00Z</cp:lastPrinted>
  <dcterms:created xsi:type="dcterms:W3CDTF">2026-06-16T09:08:00Z</dcterms:created>
  <dcterms:modified xsi:type="dcterms:W3CDTF">2026-08-26T22:05:00Z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0x0101008DD4E55CC3E3E847AD665E871CCDAB11</vt:lpwstr>
  </property>
</Properties>
</file>